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3EB6AD5">
      <w:pPr>
        <w:keepNext w:val="0"/>
        <w:keepLines w:val="0"/>
        <w:pageBreakBefore w:val="0"/>
        <w:widowControl w:val="0"/>
        <w:kinsoku/>
        <w:wordWrap/>
        <w:overflowPunct/>
        <w:topLinePunct w:val="0"/>
        <w:autoSpaceDE/>
        <w:autoSpaceDN/>
        <w:bidi w:val="0"/>
        <w:adjustRightInd/>
        <w:snapToGrid/>
        <w:spacing w:line="240" w:lineRule="auto"/>
        <w:ind w:left="0"/>
        <w:jc w:val="center"/>
        <w:textAlignment w:val="auto"/>
        <w:rPr>
          <w:rFonts w:hint="eastAsia" w:ascii="宋体" w:hAnsi="宋体" w:eastAsia="宋体" w:cs="宋体"/>
          <w:b/>
          <w:bCs/>
          <w:kern w:val="2"/>
          <w:sz w:val="36"/>
          <w:szCs w:val="36"/>
          <w:lang w:val="en-US" w:eastAsia="zh-CN" w:bidi="ar-SA"/>
        </w:rPr>
      </w:pPr>
      <w:r>
        <w:rPr>
          <w:rFonts w:hint="eastAsia" w:ascii="宋体" w:hAnsi="宋体" w:eastAsia="宋体" w:cs="宋体"/>
          <w:b/>
          <w:bCs/>
          <w:kern w:val="2"/>
          <w:sz w:val="36"/>
          <w:szCs w:val="36"/>
          <w:lang w:val="en-US" w:eastAsia="zh-CN" w:bidi="ar-SA"/>
        </w:rPr>
        <w:t>户外美式油变技术要求书</w:t>
      </w:r>
    </w:p>
    <w:p w14:paraId="2686B659">
      <w:pPr>
        <w:keepNext w:val="0"/>
        <w:keepLines w:val="0"/>
        <w:pageBreakBefore w:val="0"/>
        <w:widowControl w:val="0"/>
        <w:kinsoku/>
        <w:wordWrap/>
        <w:overflowPunct/>
        <w:topLinePunct w:val="0"/>
        <w:autoSpaceDE/>
        <w:autoSpaceDN/>
        <w:bidi w:val="0"/>
        <w:adjustRightInd/>
        <w:snapToGrid/>
        <w:spacing w:line="360" w:lineRule="auto"/>
        <w:ind w:left="0"/>
        <w:jc w:val="both"/>
        <w:textAlignment w:val="auto"/>
        <w:rPr>
          <w:rFonts w:hint="eastAsia" w:ascii="宋体" w:hAnsi="宋体" w:eastAsia="宋体" w:cs="宋体"/>
          <w:b/>
          <w:sz w:val="36"/>
          <w:szCs w:val="36"/>
        </w:rPr>
      </w:pPr>
    </w:p>
    <w:p w14:paraId="537DF15B">
      <w:pPr>
        <w:keepNext w:val="0"/>
        <w:keepLines w:val="0"/>
        <w:pageBreakBefore w:val="0"/>
        <w:kinsoku/>
        <w:wordWrap/>
        <w:overflowPunct/>
        <w:topLinePunct w:val="0"/>
        <w:autoSpaceDE/>
        <w:autoSpaceDN/>
        <w:bidi w:val="0"/>
        <w:adjustRightInd/>
        <w:snapToGrid/>
        <w:spacing w:line="360" w:lineRule="auto"/>
        <w:jc w:val="both"/>
        <w:textAlignment w:val="auto"/>
        <w:rPr>
          <w:rFonts w:hint="eastAsia" w:ascii="宋体" w:hAnsi="宋体" w:eastAsia="宋体" w:cs="宋体"/>
          <w:b/>
          <w:sz w:val="24"/>
          <w:szCs w:val="24"/>
        </w:rPr>
      </w:pPr>
      <w:bookmarkStart w:id="0" w:name="heading_0"/>
      <w:r>
        <w:rPr>
          <w:rFonts w:hint="eastAsia" w:ascii="宋体" w:hAnsi="宋体" w:eastAsia="宋体" w:cs="宋体"/>
          <w:b/>
          <w:sz w:val="24"/>
          <w:szCs w:val="24"/>
        </w:rPr>
        <w:t>1.总则</w:t>
      </w:r>
    </w:p>
    <w:p w14:paraId="11BF70E2">
      <w:pPr>
        <w:keepNext w:val="0"/>
        <w:keepLines w:val="0"/>
        <w:pageBreakBefore w:val="0"/>
        <w:kinsoku/>
        <w:wordWrap/>
        <w:overflowPunct/>
        <w:topLinePunct w:val="0"/>
        <w:autoSpaceDE/>
        <w:autoSpaceDN/>
        <w:bidi w:val="0"/>
        <w:adjustRightInd/>
        <w:snapToGrid/>
        <w:spacing w:line="360" w:lineRule="auto"/>
        <w:jc w:val="both"/>
        <w:textAlignment w:val="auto"/>
        <w:rPr>
          <w:rFonts w:hint="eastAsia" w:ascii="宋体" w:hAnsi="宋体" w:eastAsia="宋体" w:cs="宋体"/>
          <w:sz w:val="24"/>
          <w:szCs w:val="24"/>
        </w:rPr>
      </w:pPr>
      <w:r>
        <w:rPr>
          <w:rFonts w:hint="eastAsia" w:ascii="宋体" w:hAnsi="宋体" w:eastAsia="宋体" w:cs="宋体"/>
          <w:sz w:val="24"/>
          <w:szCs w:val="24"/>
        </w:rPr>
        <w:t xml:space="preserve">1.1  技术规范文件适用于10kV </w:t>
      </w:r>
      <w:r>
        <w:rPr>
          <w:rFonts w:hint="eastAsia" w:ascii="宋体" w:hAnsi="宋体" w:eastAsia="宋体" w:cs="宋体"/>
          <w:sz w:val="24"/>
          <w:szCs w:val="24"/>
          <w:lang w:val="en-US" w:eastAsia="zh-CN"/>
        </w:rPr>
        <w:t>户外美变</w:t>
      </w:r>
      <w:r>
        <w:rPr>
          <w:rFonts w:hint="eastAsia" w:ascii="宋体" w:hAnsi="宋体" w:eastAsia="宋体" w:cs="宋体"/>
          <w:sz w:val="24"/>
          <w:szCs w:val="24"/>
        </w:rPr>
        <w:t>的设备</w:t>
      </w:r>
      <w:r>
        <w:rPr>
          <w:rFonts w:hint="eastAsia" w:ascii="宋体" w:hAnsi="宋体" w:eastAsia="宋体" w:cs="宋体"/>
          <w:sz w:val="24"/>
          <w:szCs w:val="24"/>
          <w:lang w:val="en-US" w:eastAsia="zh-CN"/>
        </w:rPr>
        <w:t>采购</w:t>
      </w:r>
      <w:r>
        <w:rPr>
          <w:rFonts w:hint="eastAsia" w:ascii="宋体" w:hAnsi="宋体" w:eastAsia="宋体" w:cs="宋体"/>
          <w:sz w:val="24"/>
          <w:szCs w:val="24"/>
        </w:rPr>
        <w:t>招标。</w:t>
      </w:r>
    </w:p>
    <w:p w14:paraId="1B244A8F">
      <w:pPr>
        <w:keepNext w:val="0"/>
        <w:keepLines w:val="0"/>
        <w:pageBreakBefore w:val="0"/>
        <w:kinsoku/>
        <w:wordWrap/>
        <w:overflowPunct/>
        <w:topLinePunct w:val="0"/>
        <w:autoSpaceDE/>
        <w:autoSpaceDN/>
        <w:bidi w:val="0"/>
        <w:adjustRightInd/>
        <w:snapToGrid/>
        <w:spacing w:line="360" w:lineRule="auto"/>
        <w:jc w:val="both"/>
        <w:textAlignment w:val="auto"/>
        <w:rPr>
          <w:rFonts w:hint="eastAsia" w:ascii="宋体" w:hAnsi="宋体" w:eastAsia="宋体" w:cs="宋体"/>
          <w:sz w:val="24"/>
          <w:szCs w:val="24"/>
        </w:rPr>
      </w:pPr>
      <w:r>
        <w:rPr>
          <w:rFonts w:hint="eastAsia" w:ascii="宋体" w:hAnsi="宋体" w:eastAsia="宋体" w:cs="宋体"/>
          <w:sz w:val="24"/>
          <w:szCs w:val="24"/>
        </w:rPr>
        <w:t>1.2  本技术文件提出的是最低限度的技术要求，并未对一切技术细节作出规定，也未充分引述有关标准和规范的条文，供方应提供符合本文件和现在最新的国家标准的优质产品。</w:t>
      </w:r>
    </w:p>
    <w:p w14:paraId="14B3447A">
      <w:pPr>
        <w:keepNext w:val="0"/>
        <w:keepLines w:val="0"/>
        <w:pageBreakBefore w:val="0"/>
        <w:kinsoku/>
        <w:wordWrap/>
        <w:overflowPunct/>
        <w:topLinePunct w:val="0"/>
        <w:autoSpaceDE/>
        <w:autoSpaceDN/>
        <w:bidi w:val="0"/>
        <w:adjustRightInd/>
        <w:snapToGrid/>
        <w:spacing w:line="360" w:lineRule="auto"/>
        <w:jc w:val="both"/>
        <w:textAlignment w:val="auto"/>
        <w:rPr>
          <w:rFonts w:hint="eastAsia" w:ascii="宋体" w:hAnsi="宋体" w:eastAsia="宋体" w:cs="宋体"/>
          <w:sz w:val="24"/>
          <w:szCs w:val="24"/>
        </w:rPr>
      </w:pPr>
      <w:r>
        <w:rPr>
          <w:rFonts w:hint="eastAsia" w:ascii="宋体" w:hAnsi="宋体" w:eastAsia="宋体" w:cs="宋体"/>
          <w:sz w:val="24"/>
          <w:szCs w:val="24"/>
        </w:rPr>
        <w:t>1.3  本技术文件所使用的标准及规定的条款如遇与投标方所执行的标准不一致时，按较高标准执行。</w:t>
      </w:r>
    </w:p>
    <w:p w14:paraId="559C558F">
      <w:pPr>
        <w:keepNext w:val="0"/>
        <w:keepLines w:val="0"/>
        <w:pageBreakBefore w:val="0"/>
        <w:widowControl/>
        <w:kinsoku/>
        <w:wordWrap/>
        <w:overflowPunct/>
        <w:topLinePunct w:val="0"/>
        <w:autoSpaceDE/>
        <w:autoSpaceDN/>
        <w:bidi w:val="0"/>
        <w:adjustRightInd/>
        <w:snapToGrid/>
        <w:spacing w:line="360" w:lineRule="auto"/>
        <w:ind w:left="0" w:leftChars="0"/>
        <w:jc w:val="both"/>
        <w:textAlignment w:val="auto"/>
        <w:rPr>
          <w:rFonts w:hint="eastAsia" w:ascii="宋体" w:hAnsi="宋体" w:eastAsia="宋体" w:cs="宋体"/>
          <w:sz w:val="24"/>
          <w:szCs w:val="24"/>
          <w:lang w:val="en-US" w:eastAsia="zh-CN"/>
        </w:rPr>
      </w:pPr>
      <w:r>
        <w:rPr>
          <w:rFonts w:hint="eastAsia" w:ascii="宋体" w:hAnsi="宋体" w:eastAsia="宋体" w:cs="宋体"/>
          <w:sz w:val="24"/>
          <w:szCs w:val="24"/>
        </w:rPr>
        <w:t>1.4  在合同签定后，我方有权因规范、标准规范等发生变化而提出补充要求</w:t>
      </w:r>
      <w:r>
        <w:rPr>
          <w:rFonts w:hint="eastAsia" w:ascii="宋体" w:hAnsi="宋体" w:eastAsia="宋体" w:cs="宋体"/>
          <w:sz w:val="24"/>
          <w:szCs w:val="24"/>
          <w:lang w:eastAsia="zh-CN"/>
        </w:rPr>
        <w:t>，全部成套设备及元器件等应满足设计可用年限不低于</w:t>
      </w:r>
      <w:r>
        <w:rPr>
          <w:rFonts w:hint="eastAsia" w:ascii="宋体" w:hAnsi="宋体" w:eastAsia="宋体" w:cs="宋体"/>
          <w:sz w:val="24"/>
          <w:szCs w:val="24"/>
          <w:lang w:val="en-US" w:eastAsia="zh-CN"/>
        </w:rPr>
        <w:t>20</w:t>
      </w:r>
      <w:r>
        <w:rPr>
          <w:rFonts w:hint="eastAsia" w:ascii="宋体" w:hAnsi="宋体" w:eastAsia="宋体" w:cs="宋体"/>
          <w:sz w:val="24"/>
          <w:szCs w:val="24"/>
          <w:lang w:eastAsia="zh-CN"/>
        </w:rPr>
        <w:t>年。</w:t>
      </w:r>
    </w:p>
    <w:bookmarkEnd w:id="0"/>
    <w:p w14:paraId="05F5DC44">
      <w:pPr>
        <w:keepNext w:val="0"/>
        <w:keepLines w:val="0"/>
        <w:pageBreakBefore w:val="0"/>
        <w:kinsoku/>
        <w:wordWrap/>
        <w:overflowPunct/>
        <w:topLinePunct w:val="0"/>
        <w:autoSpaceDE/>
        <w:autoSpaceDN/>
        <w:bidi w:val="0"/>
        <w:adjustRightInd/>
        <w:snapToGrid/>
        <w:spacing w:line="360" w:lineRule="auto"/>
        <w:ind w:left="0"/>
        <w:jc w:val="both"/>
        <w:textAlignment w:val="auto"/>
        <w:outlineLvl w:val="2"/>
        <w:rPr>
          <w:rFonts w:hint="eastAsia" w:ascii="宋体" w:hAnsi="宋体" w:eastAsia="宋体" w:cs="宋体"/>
          <w:sz w:val="24"/>
          <w:szCs w:val="24"/>
        </w:rPr>
      </w:pPr>
      <w:bookmarkStart w:id="1" w:name="heading_2"/>
      <w:r>
        <w:rPr>
          <w:rFonts w:hint="eastAsia" w:ascii="宋体" w:hAnsi="宋体" w:eastAsia="宋体" w:cs="宋体"/>
          <w:b/>
          <w:sz w:val="24"/>
          <w:szCs w:val="24"/>
        </w:rPr>
        <w:t>1.2 使用环境条件</w:t>
      </w:r>
      <w:bookmarkEnd w:id="1"/>
    </w:p>
    <w:p w14:paraId="0B6210D5">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both"/>
        <w:textAlignment w:val="auto"/>
        <w:rPr>
          <w:rFonts w:hint="eastAsia" w:ascii="宋体" w:hAnsi="宋体" w:eastAsia="宋体" w:cs="宋体"/>
          <w:sz w:val="24"/>
          <w:szCs w:val="24"/>
        </w:rPr>
      </w:pPr>
      <w:r>
        <w:rPr>
          <w:rFonts w:hint="eastAsia" w:ascii="宋体" w:hAnsi="宋体" w:eastAsia="宋体" w:cs="宋体"/>
          <w:sz w:val="24"/>
          <w:szCs w:val="24"/>
        </w:rPr>
        <w:t>环境温度：-25℃～+40℃</w:t>
      </w:r>
    </w:p>
    <w:p w14:paraId="0A0CE5B6">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both"/>
        <w:textAlignment w:val="auto"/>
        <w:rPr>
          <w:rFonts w:hint="eastAsia" w:ascii="宋体" w:hAnsi="宋体" w:eastAsia="宋体" w:cs="宋体"/>
          <w:sz w:val="24"/>
          <w:szCs w:val="24"/>
        </w:rPr>
      </w:pPr>
      <w:r>
        <w:rPr>
          <w:rFonts w:hint="eastAsia" w:ascii="宋体" w:hAnsi="宋体" w:eastAsia="宋体" w:cs="宋体"/>
          <w:sz w:val="24"/>
          <w:szCs w:val="24"/>
        </w:rPr>
        <w:t>海拔高度：≤1000m</w:t>
      </w:r>
    </w:p>
    <w:p w14:paraId="55A24E99">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both"/>
        <w:textAlignment w:val="auto"/>
        <w:rPr>
          <w:rFonts w:hint="eastAsia" w:ascii="宋体" w:hAnsi="宋体" w:eastAsia="宋体" w:cs="宋体"/>
          <w:sz w:val="24"/>
          <w:szCs w:val="24"/>
        </w:rPr>
      </w:pPr>
      <w:r>
        <w:rPr>
          <w:rFonts w:hint="eastAsia" w:ascii="宋体" w:hAnsi="宋体" w:eastAsia="宋体" w:cs="宋体"/>
          <w:sz w:val="24"/>
          <w:szCs w:val="24"/>
        </w:rPr>
        <w:t>相对湿度：日平均≤95%，月平均≤90%</w:t>
      </w:r>
    </w:p>
    <w:p w14:paraId="57C20E1D">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both"/>
        <w:textAlignment w:val="auto"/>
        <w:rPr>
          <w:rFonts w:hint="eastAsia" w:ascii="宋体" w:hAnsi="宋体" w:eastAsia="宋体" w:cs="宋体"/>
          <w:sz w:val="24"/>
          <w:szCs w:val="24"/>
        </w:rPr>
      </w:pPr>
      <w:r>
        <w:rPr>
          <w:rFonts w:hint="eastAsia" w:ascii="宋体" w:hAnsi="宋体" w:eastAsia="宋体" w:cs="宋体"/>
          <w:sz w:val="24"/>
          <w:szCs w:val="24"/>
        </w:rPr>
        <w:t>安装环境：户外露天布置，耐受日晒、雨淋、潮湿、凝露环境</w:t>
      </w:r>
    </w:p>
    <w:p w14:paraId="6A4F16D3">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both"/>
        <w:textAlignment w:val="auto"/>
        <w:rPr>
          <w:rFonts w:hint="eastAsia" w:ascii="宋体" w:hAnsi="宋体" w:eastAsia="宋体" w:cs="宋体"/>
          <w:sz w:val="24"/>
          <w:szCs w:val="24"/>
        </w:rPr>
      </w:pPr>
      <w:r>
        <w:rPr>
          <w:rFonts w:hint="eastAsia" w:ascii="宋体" w:hAnsi="宋体" w:eastAsia="宋体" w:cs="宋体"/>
          <w:sz w:val="24"/>
          <w:szCs w:val="24"/>
        </w:rPr>
        <w:t>冷却方式：ONAN油浸自冷</w:t>
      </w:r>
    </w:p>
    <w:p w14:paraId="64F00711">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both"/>
        <w:textAlignment w:val="auto"/>
        <w:rPr>
          <w:rFonts w:hint="eastAsia" w:ascii="宋体" w:hAnsi="宋体" w:eastAsia="宋体" w:cs="宋体"/>
          <w:sz w:val="24"/>
          <w:szCs w:val="24"/>
        </w:rPr>
      </w:pPr>
      <w:r>
        <w:rPr>
          <w:rFonts w:hint="eastAsia" w:ascii="宋体" w:hAnsi="宋体" w:eastAsia="宋体" w:cs="宋体"/>
          <w:sz w:val="24"/>
          <w:szCs w:val="24"/>
        </w:rPr>
        <w:t>设计使用寿命：≥20年</w:t>
      </w:r>
    </w:p>
    <w:p w14:paraId="32D5089C">
      <w:pPr>
        <w:keepNext w:val="0"/>
        <w:keepLines w:val="0"/>
        <w:pageBreakBefore w:val="0"/>
        <w:kinsoku/>
        <w:wordWrap/>
        <w:overflowPunct/>
        <w:topLinePunct w:val="0"/>
        <w:autoSpaceDE/>
        <w:autoSpaceDN/>
        <w:bidi w:val="0"/>
        <w:adjustRightInd/>
        <w:snapToGrid/>
        <w:spacing w:line="360" w:lineRule="auto"/>
        <w:ind w:left="0"/>
        <w:jc w:val="both"/>
        <w:textAlignment w:val="auto"/>
        <w:outlineLvl w:val="2"/>
        <w:rPr>
          <w:rFonts w:hint="default" w:ascii="宋体" w:hAnsi="宋体" w:eastAsia="宋体" w:cs="宋体"/>
          <w:sz w:val="24"/>
          <w:szCs w:val="24"/>
          <w:lang w:val="en-US" w:eastAsia="zh-CN"/>
        </w:rPr>
      </w:pPr>
      <w:bookmarkStart w:id="2" w:name="heading_3"/>
      <w:r>
        <w:rPr>
          <w:rFonts w:hint="eastAsia" w:ascii="宋体" w:hAnsi="宋体" w:eastAsia="宋体" w:cs="宋体"/>
          <w:b/>
          <w:sz w:val="24"/>
          <w:szCs w:val="24"/>
        </w:rPr>
        <w:t xml:space="preserve">1.3 </w:t>
      </w:r>
      <w:bookmarkEnd w:id="2"/>
      <w:r>
        <w:rPr>
          <w:rFonts w:hint="eastAsia" w:ascii="宋体" w:hAnsi="宋体" w:eastAsia="宋体" w:cs="宋体"/>
          <w:b/>
          <w:sz w:val="24"/>
          <w:szCs w:val="24"/>
          <w:lang w:val="en-US" w:eastAsia="zh-CN"/>
        </w:rPr>
        <w:t>适用标准</w:t>
      </w:r>
    </w:p>
    <w:p w14:paraId="2C4097A7">
      <w:pPr>
        <w:keepNext w:val="0"/>
        <w:keepLines w:val="0"/>
        <w:pageBreakBefore w:val="0"/>
        <w:kinsoku/>
        <w:wordWrap/>
        <w:overflowPunct/>
        <w:topLinePunct w:val="0"/>
        <w:autoSpaceDE/>
        <w:autoSpaceDN/>
        <w:bidi w:val="0"/>
        <w:adjustRightInd/>
        <w:snapToGrid/>
        <w:spacing w:line="360" w:lineRule="auto"/>
        <w:ind w:left="0"/>
        <w:jc w:val="both"/>
        <w:textAlignment w:val="auto"/>
        <w:rPr>
          <w:rFonts w:hint="eastAsia" w:ascii="宋体" w:hAnsi="宋体" w:eastAsia="宋体" w:cs="宋体"/>
          <w:sz w:val="24"/>
          <w:szCs w:val="24"/>
          <w:lang w:val="en-US" w:eastAsia="zh-CN"/>
        </w:rPr>
      </w:pPr>
      <w:r>
        <w:rPr>
          <w:rFonts w:hint="eastAsia" w:ascii="宋体" w:hAnsi="宋体" w:eastAsia="宋体" w:cs="宋体"/>
          <w:b/>
          <w:sz w:val="24"/>
          <w:szCs w:val="24"/>
        </w:rPr>
        <w:t>适用标准：</w:t>
      </w:r>
      <w:r>
        <w:rPr>
          <w:rFonts w:hint="eastAsia" w:ascii="宋体" w:hAnsi="宋体" w:eastAsia="宋体" w:cs="宋体"/>
          <w:sz w:val="24"/>
          <w:szCs w:val="24"/>
        </w:rPr>
        <w:t>JB/T 10217-20</w:t>
      </w:r>
      <w:r>
        <w:rPr>
          <w:rFonts w:hint="eastAsia" w:ascii="宋体" w:hAnsi="宋体" w:eastAsia="宋体" w:cs="宋体"/>
          <w:sz w:val="24"/>
          <w:szCs w:val="24"/>
          <w:lang w:val="en-US" w:eastAsia="zh-CN"/>
        </w:rPr>
        <w:t>25</w:t>
      </w:r>
      <w:r>
        <w:rPr>
          <w:rFonts w:hint="eastAsia" w:ascii="宋体" w:hAnsi="宋体" w:eastAsia="宋体" w:cs="宋体"/>
          <w:sz w:val="24"/>
          <w:szCs w:val="24"/>
        </w:rPr>
        <w:t>《组合式变压器》、GB 1094《电力变压器》、GB/T 17467</w:t>
      </w:r>
      <w:r>
        <w:rPr>
          <w:rFonts w:hint="eastAsia" w:ascii="宋体" w:hAnsi="宋体" w:eastAsia="宋体" w:cs="宋体"/>
          <w:sz w:val="24"/>
          <w:szCs w:val="24"/>
          <w:lang w:eastAsia="zh-CN"/>
        </w:rPr>
        <w:t>《</w:t>
      </w:r>
      <w:r>
        <w:rPr>
          <w:rFonts w:hint="eastAsia" w:ascii="宋体" w:hAnsi="宋体" w:eastAsia="宋体" w:cs="宋体"/>
          <w:sz w:val="24"/>
          <w:szCs w:val="24"/>
          <w:lang w:val="en-US" w:eastAsia="zh-CN"/>
        </w:rPr>
        <w:t>预装式变电站</w:t>
      </w:r>
      <w:r>
        <w:rPr>
          <w:rFonts w:hint="eastAsia" w:ascii="宋体" w:hAnsi="宋体" w:eastAsia="宋体" w:cs="宋体"/>
          <w:sz w:val="24"/>
          <w:szCs w:val="24"/>
          <w:lang w:eastAsia="zh-CN"/>
        </w:rPr>
        <w:t>》</w:t>
      </w:r>
      <w:r>
        <w:rPr>
          <w:rFonts w:hint="eastAsia" w:ascii="宋体" w:hAnsi="宋体" w:eastAsia="宋体" w:cs="宋体"/>
          <w:sz w:val="24"/>
          <w:szCs w:val="24"/>
        </w:rPr>
        <w:t>、GB 3</w:t>
      </w:r>
      <w:r>
        <w:rPr>
          <w:rFonts w:hint="eastAsia" w:ascii="宋体" w:hAnsi="宋体" w:eastAsia="宋体" w:cs="宋体"/>
          <w:sz w:val="24"/>
          <w:szCs w:val="24"/>
          <w:lang w:val="en-US" w:eastAsia="zh-CN"/>
        </w:rPr>
        <w:t>804</w:t>
      </w:r>
      <w:r>
        <w:rPr>
          <w:rFonts w:hint="eastAsia" w:ascii="宋体" w:hAnsi="宋体" w:eastAsia="宋体" w:cs="宋体"/>
          <w:sz w:val="24"/>
          <w:szCs w:val="24"/>
        </w:rPr>
        <w:t>-20</w:t>
      </w:r>
      <w:r>
        <w:rPr>
          <w:rFonts w:hint="eastAsia" w:ascii="宋体" w:hAnsi="宋体" w:eastAsia="宋体" w:cs="宋体"/>
          <w:sz w:val="24"/>
          <w:szCs w:val="24"/>
          <w:lang w:val="en-US" w:eastAsia="zh-CN"/>
        </w:rPr>
        <w:t>17《高压交流负荷开关》等</w:t>
      </w:r>
    </w:p>
    <w:p w14:paraId="19D4A7DE">
      <w:pPr>
        <w:keepNext w:val="0"/>
        <w:keepLines w:val="0"/>
        <w:pageBreakBefore w:val="0"/>
        <w:kinsoku/>
        <w:wordWrap/>
        <w:overflowPunct/>
        <w:topLinePunct w:val="0"/>
        <w:autoSpaceDE/>
        <w:autoSpaceDN/>
        <w:bidi w:val="0"/>
        <w:adjustRightInd/>
        <w:snapToGrid/>
        <w:spacing w:line="360" w:lineRule="auto"/>
        <w:ind w:left="0"/>
        <w:jc w:val="both"/>
        <w:textAlignment w:val="auto"/>
        <w:outlineLvl w:val="1"/>
        <w:rPr>
          <w:rFonts w:hint="eastAsia" w:ascii="宋体" w:hAnsi="宋体" w:eastAsia="宋体" w:cs="宋体"/>
          <w:sz w:val="24"/>
          <w:szCs w:val="24"/>
        </w:rPr>
      </w:pPr>
      <w:bookmarkStart w:id="3" w:name="heading_5"/>
      <w:r>
        <w:rPr>
          <w:rFonts w:hint="eastAsia" w:ascii="宋体" w:hAnsi="宋体" w:eastAsia="宋体" w:cs="宋体"/>
          <w:b/>
          <w:sz w:val="24"/>
          <w:szCs w:val="24"/>
        </w:rPr>
        <w:t>2 设备主要额定技术参数</w:t>
      </w:r>
      <w:bookmarkEnd w:id="3"/>
    </w:p>
    <w:tbl>
      <w:tblPr>
        <w:tblStyle w:val="4"/>
        <w:tblW w:w="0" w:type="auto"/>
        <w:tblInd w:w="0" w:type="dxa"/>
        <w:tblBorders>
          <w:top w:val="single" w:color="DEE0E3" w:sz="0" w:space="0"/>
          <w:left w:val="single" w:color="DEE0E3" w:sz="0" w:space="0"/>
          <w:bottom w:val="single" w:color="DEE0E3" w:sz="0" w:space="0"/>
          <w:right w:val="single" w:color="DEE0E3" w:sz="0" w:space="0"/>
          <w:insideH w:val="single" w:color="DEE0E3" w:sz="0" w:space="0"/>
          <w:insideV w:val="single" w:color="DEE0E3" w:sz="0" w:space="0"/>
        </w:tblBorders>
        <w:tblLayout w:type="fixed"/>
        <w:tblCellMar>
          <w:top w:w="0" w:type="dxa"/>
          <w:left w:w="10" w:type="dxa"/>
          <w:bottom w:w="0" w:type="dxa"/>
          <w:right w:w="10" w:type="dxa"/>
        </w:tblCellMar>
      </w:tblPr>
      <w:tblGrid>
        <w:gridCol w:w="1166"/>
        <w:gridCol w:w="2613"/>
        <w:gridCol w:w="4501"/>
      </w:tblGrid>
      <w:tr w14:paraId="6C6B484D">
        <w:tblPrEx>
          <w:tblBorders>
            <w:top w:val="single" w:color="DEE0E3" w:sz="0" w:space="0"/>
            <w:left w:val="single" w:color="DEE0E3" w:sz="0" w:space="0"/>
            <w:bottom w:val="single" w:color="DEE0E3" w:sz="0" w:space="0"/>
            <w:right w:val="single" w:color="DEE0E3" w:sz="0" w:space="0"/>
            <w:insideH w:val="single" w:color="DEE0E3" w:sz="0" w:space="0"/>
            <w:insideV w:val="single" w:color="DEE0E3" w:sz="0" w:space="0"/>
          </w:tblBorders>
          <w:tblCellMar>
            <w:top w:w="0" w:type="dxa"/>
            <w:left w:w="10" w:type="dxa"/>
            <w:bottom w:w="0" w:type="dxa"/>
            <w:right w:w="10" w:type="dxa"/>
          </w:tblCellMar>
        </w:tblPrEx>
        <w:tc>
          <w:tcPr>
            <w:tcW w:w="1166" w:type="dxa"/>
            <w:tcMar>
              <w:top w:w="60" w:type="dxa"/>
              <w:left w:w="120" w:type="dxa"/>
              <w:bottom w:w="30" w:type="dxa"/>
              <w:right w:w="120" w:type="dxa"/>
            </w:tcMar>
          </w:tcPr>
          <w:p w14:paraId="66546028">
            <w:pPr>
              <w:keepNext w:val="0"/>
              <w:keepLines w:val="0"/>
              <w:pageBreakBefore w:val="0"/>
              <w:kinsoku/>
              <w:wordWrap/>
              <w:overflowPunct/>
              <w:topLinePunct w:val="0"/>
              <w:autoSpaceDE/>
              <w:autoSpaceDN/>
              <w:bidi w:val="0"/>
              <w:adjustRightInd/>
              <w:snapToGrid/>
              <w:spacing w:line="360" w:lineRule="auto"/>
              <w:ind w:left="0"/>
              <w:jc w:val="both"/>
              <w:textAlignment w:val="auto"/>
              <w:rPr>
                <w:rFonts w:hint="eastAsia" w:ascii="宋体" w:hAnsi="宋体" w:eastAsia="宋体" w:cs="宋体"/>
                <w:sz w:val="24"/>
                <w:szCs w:val="24"/>
              </w:rPr>
            </w:pPr>
            <w:r>
              <w:rPr>
                <w:rFonts w:hint="eastAsia" w:ascii="宋体" w:hAnsi="宋体" w:eastAsia="宋体" w:cs="宋体"/>
                <w:sz w:val="24"/>
                <w:szCs w:val="24"/>
              </w:rPr>
              <w:t>序号</w:t>
            </w:r>
          </w:p>
        </w:tc>
        <w:tc>
          <w:tcPr>
            <w:tcW w:w="2613" w:type="dxa"/>
            <w:tcMar>
              <w:top w:w="60" w:type="dxa"/>
              <w:left w:w="120" w:type="dxa"/>
              <w:bottom w:w="30" w:type="dxa"/>
              <w:right w:w="120" w:type="dxa"/>
            </w:tcMar>
          </w:tcPr>
          <w:p w14:paraId="53C651A0">
            <w:pPr>
              <w:keepNext w:val="0"/>
              <w:keepLines w:val="0"/>
              <w:pageBreakBefore w:val="0"/>
              <w:kinsoku/>
              <w:wordWrap/>
              <w:overflowPunct/>
              <w:topLinePunct w:val="0"/>
              <w:autoSpaceDE/>
              <w:autoSpaceDN/>
              <w:bidi w:val="0"/>
              <w:adjustRightInd/>
              <w:snapToGrid/>
              <w:spacing w:line="360" w:lineRule="auto"/>
              <w:ind w:left="0"/>
              <w:jc w:val="both"/>
              <w:textAlignment w:val="auto"/>
              <w:rPr>
                <w:rFonts w:hint="eastAsia" w:ascii="宋体" w:hAnsi="宋体" w:eastAsia="宋体" w:cs="宋体"/>
                <w:sz w:val="24"/>
                <w:szCs w:val="24"/>
              </w:rPr>
            </w:pPr>
            <w:r>
              <w:rPr>
                <w:rFonts w:hint="eastAsia" w:ascii="宋体" w:hAnsi="宋体" w:eastAsia="宋体" w:cs="宋体"/>
                <w:sz w:val="24"/>
                <w:szCs w:val="24"/>
              </w:rPr>
              <w:t>项目名称</w:t>
            </w:r>
          </w:p>
        </w:tc>
        <w:tc>
          <w:tcPr>
            <w:tcW w:w="4501" w:type="dxa"/>
            <w:tcMar>
              <w:top w:w="60" w:type="dxa"/>
              <w:left w:w="120" w:type="dxa"/>
              <w:bottom w:w="30" w:type="dxa"/>
              <w:right w:w="120" w:type="dxa"/>
            </w:tcMar>
          </w:tcPr>
          <w:p w14:paraId="7823F862">
            <w:pPr>
              <w:keepNext w:val="0"/>
              <w:keepLines w:val="0"/>
              <w:pageBreakBefore w:val="0"/>
              <w:kinsoku/>
              <w:wordWrap/>
              <w:overflowPunct/>
              <w:topLinePunct w:val="0"/>
              <w:autoSpaceDE/>
              <w:autoSpaceDN/>
              <w:bidi w:val="0"/>
              <w:adjustRightInd/>
              <w:snapToGrid/>
              <w:spacing w:line="360" w:lineRule="auto"/>
              <w:ind w:left="0"/>
              <w:jc w:val="both"/>
              <w:textAlignment w:val="auto"/>
              <w:rPr>
                <w:rFonts w:hint="eastAsia" w:ascii="宋体" w:hAnsi="宋体" w:eastAsia="宋体" w:cs="宋体"/>
                <w:sz w:val="24"/>
                <w:szCs w:val="24"/>
              </w:rPr>
            </w:pPr>
            <w:r>
              <w:rPr>
                <w:rFonts w:hint="eastAsia" w:ascii="宋体" w:hAnsi="宋体" w:eastAsia="宋体" w:cs="宋体"/>
                <w:sz w:val="24"/>
                <w:szCs w:val="24"/>
              </w:rPr>
              <w:t>技术参数要求</w:t>
            </w:r>
          </w:p>
        </w:tc>
      </w:tr>
      <w:tr w14:paraId="49595C57">
        <w:tblPrEx>
          <w:tblBorders>
            <w:top w:val="single" w:color="DEE0E3" w:sz="0" w:space="0"/>
            <w:left w:val="single" w:color="DEE0E3" w:sz="0" w:space="0"/>
            <w:bottom w:val="single" w:color="DEE0E3" w:sz="0" w:space="0"/>
            <w:right w:val="single" w:color="DEE0E3" w:sz="0" w:space="0"/>
            <w:insideH w:val="single" w:color="DEE0E3" w:sz="0" w:space="0"/>
            <w:insideV w:val="single" w:color="DEE0E3" w:sz="0" w:space="0"/>
          </w:tblBorders>
          <w:tblCellMar>
            <w:top w:w="0" w:type="dxa"/>
            <w:left w:w="10" w:type="dxa"/>
            <w:bottom w:w="0" w:type="dxa"/>
            <w:right w:w="10" w:type="dxa"/>
          </w:tblCellMar>
        </w:tblPrEx>
        <w:tc>
          <w:tcPr>
            <w:tcW w:w="1166" w:type="dxa"/>
            <w:tcMar>
              <w:top w:w="60" w:type="dxa"/>
              <w:left w:w="120" w:type="dxa"/>
              <w:bottom w:w="30" w:type="dxa"/>
              <w:right w:w="120" w:type="dxa"/>
            </w:tcMar>
          </w:tcPr>
          <w:p w14:paraId="1A039558">
            <w:pPr>
              <w:keepNext w:val="0"/>
              <w:keepLines w:val="0"/>
              <w:pageBreakBefore w:val="0"/>
              <w:kinsoku/>
              <w:wordWrap/>
              <w:overflowPunct/>
              <w:topLinePunct w:val="0"/>
              <w:autoSpaceDE/>
              <w:autoSpaceDN/>
              <w:bidi w:val="0"/>
              <w:adjustRightInd/>
              <w:snapToGrid/>
              <w:spacing w:line="360" w:lineRule="auto"/>
              <w:ind w:left="0"/>
              <w:jc w:val="both"/>
              <w:textAlignment w:val="auto"/>
              <w:rPr>
                <w:rFonts w:hint="eastAsia" w:ascii="宋体" w:hAnsi="宋体" w:eastAsia="宋体" w:cs="宋体"/>
                <w:sz w:val="24"/>
                <w:szCs w:val="24"/>
              </w:rPr>
            </w:pPr>
            <w:r>
              <w:rPr>
                <w:rFonts w:hint="eastAsia" w:ascii="宋体" w:hAnsi="宋体" w:eastAsia="宋体" w:cs="宋体"/>
                <w:sz w:val="24"/>
                <w:szCs w:val="24"/>
              </w:rPr>
              <w:t>1</w:t>
            </w:r>
          </w:p>
        </w:tc>
        <w:tc>
          <w:tcPr>
            <w:tcW w:w="2613" w:type="dxa"/>
            <w:tcMar>
              <w:top w:w="60" w:type="dxa"/>
              <w:left w:w="120" w:type="dxa"/>
              <w:bottom w:w="30" w:type="dxa"/>
              <w:right w:w="120" w:type="dxa"/>
            </w:tcMar>
          </w:tcPr>
          <w:p w14:paraId="74BD0258">
            <w:pPr>
              <w:keepNext w:val="0"/>
              <w:keepLines w:val="0"/>
              <w:pageBreakBefore w:val="0"/>
              <w:kinsoku/>
              <w:wordWrap/>
              <w:overflowPunct/>
              <w:topLinePunct w:val="0"/>
              <w:autoSpaceDE/>
              <w:autoSpaceDN/>
              <w:bidi w:val="0"/>
              <w:adjustRightInd/>
              <w:snapToGrid/>
              <w:spacing w:line="360" w:lineRule="auto"/>
              <w:ind w:left="0"/>
              <w:jc w:val="both"/>
              <w:textAlignment w:val="auto"/>
              <w:rPr>
                <w:rFonts w:hint="eastAsia" w:ascii="宋体" w:hAnsi="宋体" w:eastAsia="宋体" w:cs="宋体"/>
                <w:sz w:val="24"/>
                <w:szCs w:val="24"/>
              </w:rPr>
            </w:pPr>
            <w:r>
              <w:rPr>
                <w:rFonts w:hint="eastAsia" w:ascii="宋体" w:hAnsi="宋体" w:eastAsia="宋体" w:cs="宋体"/>
                <w:sz w:val="24"/>
                <w:szCs w:val="24"/>
              </w:rPr>
              <w:t>高压额定电压</w:t>
            </w:r>
          </w:p>
        </w:tc>
        <w:tc>
          <w:tcPr>
            <w:tcW w:w="4501" w:type="dxa"/>
            <w:tcMar>
              <w:top w:w="60" w:type="dxa"/>
              <w:left w:w="120" w:type="dxa"/>
              <w:bottom w:w="30" w:type="dxa"/>
              <w:right w:w="120" w:type="dxa"/>
            </w:tcMar>
          </w:tcPr>
          <w:p w14:paraId="01BDD468">
            <w:pPr>
              <w:keepNext w:val="0"/>
              <w:keepLines w:val="0"/>
              <w:pageBreakBefore w:val="0"/>
              <w:kinsoku/>
              <w:wordWrap/>
              <w:overflowPunct/>
              <w:topLinePunct w:val="0"/>
              <w:autoSpaceDE/>
              <w:autoSpaceDN/>
              <w:bidi w:val="0"/>
              <w:adjustRightInd/>
              <w:snapToGrid/>
              <w:spacing w:line="360" w:lineRule="auto"/>
              <w:ind w:left="0"/>
              <w:jc w:val="both"/>
              <w:textAlignment w:val="auto"/>
              <w:rPr>
                <w:rFonts w:hint="eastAsia" w:ascii="宋体" w:hAnsi="宋体" w:eastAsia="宋体" w:cs="宋体"/>
                <w:sz w:val="24"/>
                <w:szCs w:val="24"/>
              </w:rPr>
            </w:pPr>
            <w:r>
              <w:rPr>
                <w:rFonts w:hint="eastAsia" w:ascii="宋体" w:hAnsi="宋体" w:eastAsia="宋体" w:cs="宋体"/>
                <w:sz w:val="24"/>
                <w:szCs w:val="24"/>
              </w:rPr>
              <w:t>10kV（最高工作电压12kV）</w:t>
            </w:r>
          </w:p>
        </w:tc>
      </w:tr>
      <w:tr w14:paraId="4E88F572">
        <w:tblPrEx>
          <w:tblBorders>
            <w:top w:val="single" w:color="DEE0E3" w:sz="0" w:space="0"/>
            <w:left w:val="single" w:color="DEE0E3" w:sz="0" w:space="0"/>
            <w:bottom w:val="single" w:color="DEE0E3" w:sz="0" w:space="0"/>
            <w:right w:val="single" w:color="DEE0E3" w:sz="0" w:space="0"/>
            <w:insideH w:val="single" w:color="DEE0E3" w:sz="0" w:space="0"/>
            <w:insideV w:val="single" w:color="DEE0E3" w:sz="0" w:space="0"/>
          </w:tblBorders>
          <w:tblCellMar>
            <w:top w:w="0" w:type="dxa"/>
            <w:left w:w="10" w:type="dxa"/>
            <w:bottom w:w="0" w:type="dxa"/>
            <w:right w:w="10" w:type="dxa"/>
          </w:tblCellMar>
        </w:tblPrEx>
        <w:tc>
          <w:tcPr>
            <w:tcW w:w="1166" w:type="dxa"/>
            <w:tcMar>
              <w:top w:w="60" w:type="dxa"/>
              <w:left w:w="120" w:type="dxa"/>
              <w:bottom w:w="30" w:type="dxa"/>
              <w:right w:w="120" w:type="dxa"/>
            </w:tcMar>
          </w:tcPr>
          <w:p w14:paraId="52F88034">
            <w:pPr>
              <w:keepNext w:val="0"/>
              <w:keepLines w:val="0"/>
              <w:pageBreakBefore w:val="0"/>
              <w:kinsoku/>
              <w:wordWrap/>
              <w:overflowPunct/>
              <w:topLinePunct w:val="0"/>
              <w:autoSpaceDE/>
              <w:autoSpaceDN/>
              <w:bidi w:val="0"/>
              <w:adjustRightInd/>
              <w:snapToGrid/>
              <w:spacing w:line="360" w:lineRule="auto"/>
              <w:ind w:left="0"/>
              <w:jc w:val="both"/>
              <w:textAlignment w:val="auto"/>
              <w:rPr>
                <w:rFonts w:hint="eastAsia" w:ascii="宋体" w:hAnsi="宋体" w:eastAsia="宋体" w:cs="宋体"/>
                <w:sz w:val="24"/>
                <w:szCs w:val="24"/>
              </w:rPr>
            </w:pPr>
            <w:r>
              <w:rPr>
                <w:rFonts w:hint="eastAsia" w:ascii="宋体" w:hAnsi="宋体" w:eastAsia="宋体" w:cs="宋体"/>
                <w:sz w:val="24"/>
                <w:szCs w:val="24"/>
              </w:rPr>
              <w:t>2</w:t>
            </w:r>
          </w:p>
        </w:tc>
        <w:tc>
          <w:tcPr>
            <w:tcW w:w="2613" w:type="dxa"/>
            <w:tcMar>
              <w:top w:w="60" w:type="dxa"/>
              <w:left w:w="120" w:type="dxa"/>
              <w:bottom w:w="30" w:type="dxa"/>
              <w:right w:w="120" w:type="dxa"/>
            </w:tcMar>
          </w:tcPr>
          <w:p w14:paraId="31340037">
            <w:pPr>
              <w:keepNext w:val="0"/>
              <w:keepLines w:val="0"/>
              <w:pageBreakBefore w:val="0"/>
              <w:kinsoku/>
              <w:wordWrap/>
              <w:overflowPunct/>
              <w:topLinePunct w:val="0"/>
              <w:autoSpaceDE/>
              <w:autoSpaceDN/>
              <w:bidi w:val="0"/>
              <w:adjustRightInd/>
              <w:snapToGrid/>
              <w:spacing w:line="360" w:lineRule="auto"/>
              <w:ind w:left="0"/>
              <w:jc w:val="both"/>
              <w:textAlignment w:val="auto"/>
              <w:rPr>
                <w:rFonts w:hint="eastAsia" w:ascii="宋体" w:hAnsi="宋体" w:eastAsia="宋体" w:cs="宋体"/>
                <w:sz w:val="24"/>
                <w:szCs w:val="24"/>
              </w:rPr>
            </w:pPr>
            <w:r>
              <w:rPr>
                <w:rFonts w:hint="eastAsia" w:ascii="宋体" w:hAnsi="宋体" w:eastAsia="宋体" w:cs="宋体"/>
                <w:sz w:val="24"/>
                <w:szCs w:val="24"/>
              </w:rPr>
              <w:t>低压额定电压</w:t>
            </w:r>
          </w:p>
        </w:tc>
        <w:tc>
          <w:tcPr>
            <w:tcW w:w="4501" w:type="dxa"/>
            <w:tcMar>
              <w:top w:w="60" w:type="dxa"/>
              <w:left w:w="120" w:type="dxa"/>
              <w:bottom w:w="30" w:type="dxa"/>
              <w:right w:w="120" w:type="dxa"/>
            </w:tcMar>
          </w:tcPr>
          <w:p w14:paraId="0416E1C4">
            <w:pPr>
              <w:keepNext w:val="0"/>
              <w:keepLines w:val="0"/>
              <w:pageBreakBefore w:val="0"/>
              <w:kinsoku/>
              <w:wordWrap/>
              <w:overflowPunct/>
              <w:topLinePunct w:val="0"/>
              <w:autoSpaceDE/>
              <w:autoSpaceDN/>
              <w:bidi w:val="0"/>
              <w:adjustRightInd/>
              <w:snapToGrid/>
              <w:spacing w:line="360" w:lineRule="auto"/>
              <w:ind w:left="0"/>
              <w:jc w:val="both"/>
              <w:textAlignment w:val="auto"/>
              <w:rPr>
                <w:rFonts w:hint="eastAsia" w:ascii="宋体" w:hAnsi="宋体" w:eastAsia="宋体" w:cs="宋体"/>
                <w:sz w:val="24"/>
                <w:szCs w:val="24"/>
              </w:rPr>
            </w:pPr>
            <w:r>
              <w:rPr>
                <w:rFonts w:hint="eastAsia" w:ascii="宋体" w:hAnsi="宋体" w:eastAsia="宋体" w:cs="宋体"/>
                <w:sz w:val="24"/>
                <w:szCs w:val="24"/>
              </w:rPr>
              <w:t>0.4kV</w:t>
            </w:r>
          </w:p>
        </w:tc>
      </w:tr>
      <w:tr w14:paraId="13370B43">
        <w:tblPrEx>
          <w:tblBorders>
            <w:top w:val="single" w:color="DEE0E3" w:sz="0" w:space="0"/>
            <w:left w:val="single" w:color="DEE0E3" w:sz="0" w:space="0"/>
            <w:bottom w:val="single" w:color="DEE0E3" w:sz="0" w:space="0"/>
            <w:right w:val="single" w:color="DEE0E3" w:sz="0" w:space="0"/>
            <w:insideH w:val="single" w:color="DEE0E3" w:sz="0" w:space="0"/>
            <w:insideV w:val="single" w:color="DEE0E3" w:sz="0" w:space="0"/>
          </w:tblBorders>
          <w:tblCellMar>
            <w:top w:w="0" w:type="dxa"/>
            <w:left w:w="10" w:type="dxa"/>
            <w:bottom w:w="0" w:type="dxa"/>
            <w:right w:w="10" w:type="dxa"/>
          </w:tblCellMar>
        </w:tblPrEx>
        <w:tc>
          <w:tcPr>
            <w:tcW w:w="1166" w:type="dxa"/>
            <w:tcMar>
              <w:top w:w="60" w:type="dxa"/>
              <w:left w:w="120" w:type="dxa"/>
              <w:bottom w:w="30" w:type="dxa"/>
              <w:right w:w="120" w:type="dxa"/>
            </w:tcMar>
          </w:tcPr>
          <w:p w14:paraId="7FC13979">
            <w:pPr>
              <w:keepNext w:val="0"/>
              <w:keepLines w:val="0"/>
              <w:pageBreakBefore w:val="0"/>
              <w:kinsoku/>
              <w:wordWrap/>
              <w:overflowPunct/>
              <w:topLinePunct w:val="0"/>
              <w:autoSpaceDE/>
              <w:autoSpaceDN/>
              <w:bidi w:val="0"/>
              <w:adjustRightInd/>
              <w:snapToGrid/>
              <w:spacing w:line="360" w:lineRule="auto"/>
              <w:ind w:left="0"/>
              <w:jc w:val="both"/>
              <w:textAlignment w:val="auto"/>
              <w:rPr>
                <w:rFonts w:hint="eastAsia" w:ascii="宋体" w:hAnsi="宋体" w:eastAsia="宋体" w:cs="宋体"/>
                <w:sz w:val="24"/>
                <w:szCs w:val="24"/>
              </w:rPr>
            </w:pPr>
            <w:r>
              <w:rPr>
                <w:rFonts w:hint="eastAsia" w:ascii="宋体" w:hAnsi="宋体" w:eastAsia="宋体" w:cs="宋体"/>
                <w:sz w:val="24"/>
                <w:szCs w:val="24"/>
              </w:rPr>
              <w:t>3</w:t>
            </w:r>
          </w:p>
        </w:tc>
        <w:tc>
          <w:tcPr>
            <w:tcW w:w="2613" w:type="dxa"/>
            <w:tcMar>
              <w:top w:w="60" w:type="dxa"/>
              <w:left w:w="120" w:type="dxa"/>
              <w:bottom w:w="30" w:type="dxa"/>
              <w:right w:w="120" w:type="dxa"/>
            </w:tcMar>
          </w:tcPr>
          <w:p w14:paraId="66576709">
            <w:pPr>
              <w:keepNext w:val="0"/>
              <w:keepLines w:val="0"/>
              <w:pageBreakBefore w:val="0"/>
              <w:kinsoku/>
              <w:wordWrap/>
              <w:overflowPunct/>
              <w:topLinePunct w:val="0"/>
              <w:autoSpaceDE/>
              <w:autoSpaceDN/>
              <w:bidi w:val="0"/>
              <w:adjustRightInd/>
              <w:snapToGrid/>
              <w:spacing w:line="360" w:lineRule="auto"/>
              <w:ind w:left="0"/>
              <w:jc w:val="both"/>
              <w:textAlignment w:val="auto"/>
              <w:rPr>
                <w:rFonts w:hint="eastAsia" w:ascii="宋体" w:hAnsi="宋体" w:eastAsia="宋体" w:cs="宋体"/>
                <w:sz w:val="24"/>
                <w:szCs w:val="24"/>
              </w:rPr>
            </w:pPr>
            <w:r>
              <w:rPr>
                <w:rFonts w:hint="eastAsia" w:ascii="宋体" w:hAnsi="宋体" w:eastAsia="宋体" w:cs="宋体"/>
                <w:sz w:val="24"/>
                <w:szCs w:val="24"/>
              </w:rPr>
              <w:t>额定频率</w:t>
            </w:r>
          </w:p>
        </w:tc>
        <w:tc>
          <w:tcPr>
            <w:tcW w:w="4501" w:type="dxa"/>
            <w:tcMar>
              <w:top w:w="60" w:type="dxa"/>
              <w:left w:w="120" w:type="dxa"/>
              <w:bottom w:w="30" w:type="dxa"/>
              <w:right w:w="120" w:type="dxa"/>
            </w:tcMar>
          </w:tcPr>
          <w:p w14:paraId="6D7CD5C3">
            <w:pPr>
              <w:keepNext w:val="0"/>
              <w:keepLines w:val="0"/>
              <w:pageBreakBefore w:val="0"/>
              <w:kinsoku/>
              <w:wordWrap/>
              <w:overflowPunct/>
              <w:topLinePunct w:val="0"/>
              <w:autoSpaceDE/>
              <w:autoSpaceDN/>
              <w:bidi w:val="0"/>
              <w:adjustRightInd/>
              <w:snapToGrid/>
              <w:spacing w:line="360" w:lineRule="auto"/>
              <w:ind w:left="0"/>
              <w:jc w:val="both"/>
              <w:textAlignment w:val="auto"/>
              <w:rPr>
                <w:rFonts w:hint="eastAsia" w:ascii="宋体" w:hAnsi="宋体" w:eastAsia="宋体" w:cs="宋体"/>
                <w:sz w:val="24"/>
                <w:szCs w:val="24"/>
              </w:rPr>
            </w:pPr>
            <w:r>
              <w:rPr>
                <w:rFonts w:hint="eastAsia" w:ascii="宋体" w:hAnsi="宋体" w:eastAsia="宋体" w:cs="宋体"/>
                <w:sz w:val="24"/>
                <w:szCs w:val="24"/>
              </w:rPr>
              <w:t>50Hz</w:t>
            </w:r>
          </w:p>
        </w:tc>
      </w:tr>
      <w:tr w14:paraId="54E8B022">
        <w:tblPrEx>
          <w:tblBorders>
            <w:top w:val="single" w:color="DEE0E3" w:sz="0" w:space="0"/>
            <w:left w:val="single" w:color="DEE0E3" w:sz="0" w:space="0"/>
            <w:bottom w:val="single" w:color="DEE0E3" w:sz="0" w:space="0"/>
            <w:right w:val="single" w:color="DEE0E3" w:sz="0" w:space="0"/>
            <w:insideH w:val="single" w:color="DEE0E3" w:sz="0" w:space="0"/>
            <w:insideV w:val="single" w:color="DEE0E3" w:sz="0" w:space="0"/>
          </w:tblBorders>
          <w:tblCellMar>
            <w:top w:w="0" w:type="dxa"/>
            <w:left w:w="10" w:type="dxa"/>
            <w:bottom w:w="0" w:type="dxa"/>
            <w:right w:w="10" w:type="dxa"/>
          </w:tblCellMar>
        </w:tblPrEx>
        <w:tc>
          <w:tcPr>
            <w:tcW w:w="1166" w:type="dxa"/>
            <w:tcMar>
              <w:top w:w="60" w:type="dxa"/>
              <w:left w:w="120" w:type="dxa"/>
              <w:bottom w:w="30" w:type="dxa"/>
              <w:right w:w="120" w:type="dxa"/>
            </w:tcMar>
          </w:tcPr>
          <w:p w14:paraId="29D2413F">
            <w:pPr>
              <w:keepNext w:val="0"/>
              <w:keepLines w:val="0"/>
              <w:pageBreakBefore w:val="0"/>
              <w:kinsoku/>
              <w:wordWrap/>
              <w:overflowPunct/>
              <w:topLinePunct w:val="0"/>
              <w:autoSpaceDE/>
              <w:autoSpaceDN/>
              <w:bidi w:val="0"/>
              <w:adjustRightInd/>
              <w:snapToGrid/>
              <w:spacing w:line="360" w:lineRule="auto"/>
              <w:ind w:left="0"/>
              <w:jc w:val="both"/>
              <w:textAlignment w:val="auto"/>
              <w:rPr>
                <w:rFonts w:hint="eastAsia" w:ascii="宋体" w:hAnsi="宋体" w:eastAsia="宋体" w:cs="宋体"/>
                <w:sz w:val="24"/>
                <w:szCs w:val="24"/>
              </w:rPr>
            </w:pPr>
            <w:r>
              <w:rPr>
                <w:rFonts w:hint="eastAsia" w:ascii="宋体" w:hAnsi="宋体" w:eastAsia="宋体" w:cs="宋体"/>
                <w:sz w:val="24"/>
                <w:szCs w:val="24"/>
              </w:rPr>
              <w:t>4</w:t>
            </w:r>
          </w:p>
        </w:tc>
        <w:tc>
          <w:tcPr>
            <w:tcW w:w="2613" w:type="dxa"/>
            <w:tcMar>
              <w:top w:w="60" w:type="dxa"/>
              <w:left w:w="120" w:type="dxa"/>
              <w:bottom w:w="30" w:type="dxa"/>
              <w:right w:w="120" w:type="dxa"/>
            </w:tcMar>
          </w:tcPr>
          <w:p w14:paraId="4378F147">
            <w:pPr>
              <w:keepNext w:val="0"/>
              <w:keepLines w:val="0"/>
              <w:pageBreakBefore w:val="0"/>
              <w:kinsoku/>
              <w:wordWrap/>
              <w:overflowPunct/>
              <w:topLinePunct w:val="0"/>
              <w:autoSpaceDE/>
              <w:autoSpaceDN/>
              <w:bidi w:val="0"/>
              <w:adjustRightInd/>
              <w:snapToGrid/>
              <w:spacing w:line="360" w:lineRule="auto"/>
              <w:ind w:left="0"/>
              <w:jc w:val="both"/>
              <w:textAlignment w:val="auto"/>
              <w:rPr>
                <w:rFonts w:hint="eastAsia" w:ascii="宋体" w:hAnsi="宋体" w:eastAsia="宋体" w:cs="宋体"/>
                <w:sz w:val="24"/>
                <w:szCs w:val="24"/>
              </w:rPr>
            </w:pPr>
            <w:r>
              <w:rPr>
                <w:rFonts w:hint="eastAsia" w:ascii="宋体" w:hAnsi="宋体" w:eastAsia="宋体" w:cs="宋体"/>
                <w:sz w:val="24"/>
                <w:szCs w:val="24"/>
              </w:rPr>
              <w:t>联结组别</w:t>
            </w:r>
          </w:p>
        </w:tc>
        <w:tc>
          <w:tcPr>
            <w:tcW w:w="4501" w:type="dxa"/>
            <w:tcMar>
              <w:top w:w="60" w:type="dxa"/>
              <w:left w:w="120" w:type="dxa"/>
              <w:bottom w:w="30" w:type="dxa"/>
              <w:right w:w="120" w:type="dxa"/>
            </w:tcMar>
          </w:tcPr>
          <w:p w14:paraId="12AEA4E5">
            <w:pPr>
              <w:keepNext w:val="0"/>
              <w:keepLines w:val="0"/>
              <w:pageBreakBefore w:val="0"/>
              <w:kinsoku/>
              <w:wordWrap/>
              <w:overflowPunct/>
              <w:topLinePunct w:val="0"/>
              <w:autoSpaceDE/>
              <w:autoSpaceDN/>
              <w:bidi w:val="0"/>
              <w:adjustRightInd/>
              <w:snapToGrid/>
              <w:spacing w:line="360" w:lineRule="auto"/>
              <w:ind w:left="0"/>
              <w:jc w:val="both"/>
              <w:textAlignment w:val="auto"/>
              <w:rPr>
                <w:rFonts w:hint="eastAsia" w:ascii="宋体" w:hAnsi="宋体" w:eastAsia="宋体" w:cs="宋体"/>
                <w:sz w:val="24"/>
                <w:szCs w:val="24"/>
              </w:rPr>
            </w:pPr>
            <w:r>
              <w:rPr>
                <w:rFonts w:hint="eastAsia" w:ascii="宋体" w:hAnsi="宋体" w:eastAsia="宋体" w:cs="宋体"/>
                <w:sz w:val="24"/>
                <w:szCs w:val="24"/>
              </w:rPr>
              <w:t>D,yn11</w:t>
            </w:r>
          </w:p>
        </w:tc>
      </w:tr>
      <w:tr w14:paraId="201F5D9E">
        <w:tblPrEx>
          <w:tblBorders>
            <w:top w:val="single" w:color="DEE0E3" w:sz="0" w:space="0"/>
            <w:left w:val="single" w:color="DEE0E3" w:sz="0" w:space="0"/>
            <w:bottom w:val="single" w:color="DEE0E3" w:sz="0" w:space="0"/>
            <w:right w:val="single" w:color="DEE0E3" w:sz="0" w:space="0"/>
            <w:insideH w:val="single" w:color="DEE0E3" w:sz="0" w:space="0"/>
            <w:insideV w:val="single" w:color="DEE0E3" w:sz="0" w:space="0"/>
          </w:tblBorders>
          <w:tblCellMar>
            <w:top w:w="0" w:type="dxa"/>
            <w:left w:w="10" w:type="dxa"/>
            <w:bottom w:w="0" w:type="dxa"/>
            <w:right w:w="10" w:type="dxa"/>
          </w:tblCellMar>
        </w:tblPrEx>
        <w:tc>
          <w:tcPr>
            <w:tcW w:w="1166" w:type="dxa"/>
            <w:tcMar>
              <w:top w:w="60" w:type="dxa"/>
              <w:left w:w="120" w:type="dxa"/>
              <w:bottom w:w="30" w:type="dxa"/>
              <w:right w:w="120" w:type="dxa"/>
            </w:tcMar>
          </w:tcPr>
          <w:p w14:paraId="566FF146">
            <w:pPr>
              <w:keepNext w:val="0"/>
              <w:keepLines w:val="0"/>
              <w:pageBreakBefore w:val="0"/>
              <w:kinsoku/>
              <w:wordWrap/>
              <w:overflowPunct/>
              <w:topLinePunct w:val="0"/>
              <w:autoSpaceDE/>
              <w:autoSpaceDN/>
              <w:bidi w:val="0"/>
              <w:adjustRightInd/>
              <w:snapToGrid/>
              <w:spacing w:line="360" w:lineRule="auto"/>
              <w:ind w:left="0"/>
              <w:jc w:val="both"/>
              <w:textAlignment w:val="auto"/>
              <w:rPr>
                <w:rFonts w:hint="eastAsia" w:ascii="宋体" w:hAnsi="宋体" w:eastAsia="宋体" w:cs="宋体"/>
                <w:sz w:val="24"/>
                <w:szCs w:val="24"/>
              </w:rPr>
            </w:pPr>
            <w:r>
              <w:rPr>
                <w:rFonts w:hint="eastAsia" w:ascii="宋体" w:hAnsi="宋体" w:eastAsia="宋体" w:cs="宋体"/>
                <w:sz w:val="24"/>
                <w:szCs w:val="24"/>
              </w:rPr>
              <w:t>5</w:t>
            </w:r>
          </w:p>
        </w:tc>
        <w:tc>
          <w:tcPr>
            <w:tcW w:w="2613" w:type="dxa"/>
            <w:tcMar>
              <w:top w:w="60" w:type="dxa"/>
              <w:left w:w="120" w:type="dxa"/>
              <w:bottom w:w="30" w:type="dxa"/>
              <w:right w:w="120" w:type="dxa"/>
            </w:tcMar>
          </w:tcPr>
          <w:p w14:paraId="5C73D4A9">
            <w:pPr>
              <w:keepNext w:val="0"/>
              <w:keepLines w:val="0"/>
              <w:pageBreakBefore w:val="0"/>
              <w:kinsoku/>
              <w:wordWrap/>
              <w:overflowPunct/>
              <w:topLinePunct w:val="0"/>
              <w:autoSpaceDE/>
              <w:autoSpaceDN/>
              <w:bidi w:val="0"/>
              <w:adjustRightInd/>
              <w:snapToGrid/>
              <w:spacing w:line="360" w:lineRule="auto"/>
              <w:ind w:left="0"/>
              <w:jc w:val="both"/>
              <w:textAlignment w:val="auto"/>
              <w:rPr>
                <w:rFonts w:hint="eastAsia" w:ascii="宋体" w:hAnsi="宋体" w:eastAsia="宋体" w:cs="宋体"/>
                <w:sz w:val="24"/>
                <w:szCs w:val="24"/>
              </w:rPr>
            </w:pPr>
            <w:r>
              <w:rPr>
                <w:rFonts w:hint="eastAsia" w:ascii="宋体" w:hAnsi="宋体" w:eastAsia="宋体" w:cs="宋体"/>
                <w:sz w:val="24"/>
                <w:szCs w:val="24"/>
              </w:rPr>
              <w:t>调压方式</w:t>
            </w:r>
          </w:p>
        </w:tc>
        <w:tc>
          <w:tcPr>
            <w:tcW w:w="4501" w:type="dxa"/>
            <w:tcMar>
              <w:top w:w="60" w:type="dxa"/>
              <w:left w:w="120" w:type="dxa"/>
              <w:bottom w:w="30" w:type="dxa"/>
              <w:right w:w="120" w:type="dxa"/>
            </w:tcMar>
          </w:tcPr>
          <w:p w14:paraId="491D74FD">
            <w:pPr>
              <w:keepNext w:val="0"/>
              <w:keepLines w:val="0"/>
              <w:pageBreakBefore w:val="0"/>
              <w:kinsoku/>
              <w:wordWrap/>
              <w:overflowPunct/>
              <w:topLinePunct w:val="0"/>
              <w:autoSpaceDE/>
              <w:autoSpaceDN/>
              <w:bidi w:val="0"/>
              <w:adjustRightInd/>
              <w:snapToGrid/>
              <w:spacing w:line="360" w:lineRule="auto"/>
              <w:ind w:left="0"/>
              <w:jc w:val="both"/>
              <w:textAlignment w:val="auto"/>
              <w:rPr>
                <w:rFonts w:hint="eastAsia" w:ascii="宋体" w:hAnsi="宋体" w:eastAsia="宋体" w:cs="宋体"/>
                <w:sz w:val="24"/>
                <w:szCs w:val="24"/>
              </w:rPr>
            </w:pPr>
            <w:r>
              <w:rPr>
                <w:rFonts w:hint="eastAsia" w:ascii="宋体" w:hAnsi="宋体" w:eastAsia="宋体" w:cs="宋体"/>
                <w:sz w:val="24"/>
                <w:szCs w:val="24"/>
              </w:rPr>
              <w:t>无励磁调压，调压范围±2×2.5%</w:t>
            </w:r>
          </w:p>
        </w:tc>
      </w:tr>
      <w:tr w14:paraId="71C8FC05">
        <w:tblPrEx>
          <w:tblBorders>
            <w:top w:val="single" w:color="DEE0E3" w:sz="0" w:space="0"/>
            <w:left w:val="single" w:color="DEE0E3" w:sz="0" w:space="0"/>
            <w:bottom w:val="single" w:color="DEE0E3" w:sz="0" w:space="0"/>
            <w:right w:val="single" w:color="DEE0E3" w:sz="0" w:space="0"/>
            <w:insideH w:val="single" w:color="DEE0E3" w:sz="0" w:space="0"/>
            <w:insideV w:val="single" w:color="DEE0E3" w:sz="0" w:space="0"/>
          </w:tblBorders>
          <w:tblCellMar>
            <w:top w:w="0" w:type="dxa"/>
            <w:left w:w="10" w:type="dxa"/>
            <w:bottom w:w="0" w:type="dxa"/>
            <w:right w:w="10" w:type="dxa"/>
          </w:tblCellMar>
        </w:tblPrEx>
        <w:tc>
          <w:tcPr>
            <w:tcW w:w="1166" w:type="dxa"/>
            <w:tcMar>
              <w:top w:w="60" w:type="dxa"/>
              <w:left w:w="120" w:type="dxa"/>
              <w:bottom w:w="30" w:type="dxa"/>
              <w:right w:w="120" w:type="dxa"/>
            </w:tcMar>
          </w:tcPr>
          <w:p w14:paraId="2B7C0C16">
            <w:pPr>
              <w:keepNext w:val="0"/>
              <w:keepLines w:val="0"/>
              <w:pageBreakBefore w:val="0"/>
              <w:kinsoku/>
              <w:wordWrap/>
              <w:overflowPunct/>
              <w:topLinePunct w:val="0"/>
              <w:autoSpaceDE/>
              <w:autoSpaceDN/>
              <w:bidi w:val="0"/>
              <w:adjustRightInd/>
              <w:snapToGrid/>
              <w:spacing w:line="360" w:lineRule="auto"/>
              <w:ind w:left="0"/>
              <w:jc w:val="both"/>
              <w:textAlignment w:val="auto"/>
              <w:rPr>
                <w:rFonts w:hint="eastAsia" w:ascii="宋体" w:hAnsi="宋体" w:eastAsia="宋体" w:cs="宋体"/>
                <w:sz w:val="24"/>
                <w:szCs w:val="24"/>
              </w:rPr>
            </w:pPr>
            <w:r>
              <w:rPr>
                <w:rFonts w:hint="eastAsia" w:ascii="宋体" w:hAnsi="宋体" w:eastAsia="宋体" w:cs="宋体"/>
                <w:sz w:val="24"/>
                <w:szCs w:val="24"/>
              </w:rPr>
              <w:t>6</w:t>
            </w:r>
          </w:p>
        </w:tc>
        <w:tc>
          <w:tcPr>
            <w:tcW w:w="2613" w:type="dxa"/>
            <w:tcMar>
              <w:top w:w="60" w:type="dxa"/>
              <w:left w:w="120" w:type="dxa"/>
              <w:bottom w:w="30" w:type="dxa"/>
              <w:right w:w="120" w:type="dxa"/>
            </w:tcMar>
          </w:tcPr>
          <w:p w14:paraId="3E2AD179">
            <w:pPr>
              <w:keepNext w:val="0"/>
              <w:keepLines w:val="0"/>
              <w:pageBreakBefore w:val="0"/>
              <w:kinsoku/>
              <w:wordWrap/>
              <w:overflowPunct/>
              <w:topLinePunct w:val="0"/>
              <w:autoSpaceDE/>
              <w:autoSpaceDN/>
              <w:bidi w:val="0"/>
              <w:adjustRightInd/>
              <w:snapToGrid/>
              <w:spacing w:line="360" w:lineRule="auto"/>
              <w:ind w:left="0"/>
              <w:jc w:val="both"/>
              <w:textAlignment w:val="auto"/>
              <w:rPr>
                <w:rFonts w:hint="eastAsia" w:ascii="宋体" w:hAnsi="宋体" w:eastAsia="宋体" w:cs="宋体"/>
                <w:sz w:val="24"/>
                <w:szCs w:val="24"/>
              </w:rPr>
            </w:pPr>
            <w:r>
              <w:rPr>
                <w:rFonts w:hint="eastAsia" w:ascii="宋体" w:hAnsi="宋体" w:eastAsia="宋体" w:cs="宋体"/>
                <w:sz w:val="24"/>
                <w:szCs w:val="24"/>
              </w:rPr>
              <w:t>低压接地方式</w:t>
            </w:r>
          </w:p>
        </w:tc>
        <w:tc>
          <w:tcPr>
            <w:tcW w:w="4501" w:type="dxa"/>
            <w:tcMar>
              <w:top w:w="60" w:type="dxa"/>
              <w:left w:w="120" w:type="dxa"/>
              <w:bottom w:w="30" w:type="dxa"/>
              <w:right w:w="120" w:type="dxa"/>
            </w:tcMar>
          </w:tcPr>
          <w:p w14:paraId="3D9D1470">
            <w:pPr>
              <w:keepNext w:val="0"/>
              <w:keepLines w:val="0"/>
              <w:pageBreakBefore w:val="0"/>
              <w:kinsoku/>
              <w:wordWrap/>
              <w:overflowPunct/>
              <w:topLinePunct w:val="0"/>
              <w:autoSpaceDE/>
              <w:autoSpaceDN/>
              <w:bidi w:val="0"/>
              <w:adjustRightInd/>
              <w:snapToGrid/>
              <w:spacing w:line="360" w:lineRule="auto"/>
              <w:ind w:left="0"/>
              <w:jc w:val="both"/>
              <w:textAlignment w:val="auto"/>
              <w:rPr>
                <w:rFonts w:hint="eastAsia" w:ascii="宋体" w:hAnsi="宋体" w:eastAsia="宋体" w:cs="宋体"/>
                <w:sz w:val="24"/>
                <w:szCs w:val="24"/>
              </w:rPr>
            </w:pPr>
            <w:r>
              <w:rPr>
                <w:rFonts w:hint="eastAsia" w:ascii="宋体" w:hAnsi="宋体" w:eastAsia="宋体" w:cs="宋体"/>
                <w:sz w:val="24"/>
                <w:szCs w:val="24"/>
              </w:rPr>
              <w:t>中性点直接接地</w:t>
            </w:r>
          </w:p>
        </w:tc>
      </w:tr>
      <w:tr w14:paraId="42CDE597">
        <w:tblPrEx>
          <w:tblBorders>
            <w:top w:val="single" w:color="DEE0E3" w:sz="0" w:space="0"/>
            <w:left w:val="single" w:color="DEE0E3" w:sz="0" w:space="0"/>
            <w:bottom w:val="single" w:color="DEE0E3" w:sz="0" w:space="0"/>
            <w:right w:val="single" w:color="DEE0E3" w:sz="0" w:space="0"/>
            <w:insideH w:val="single" w:color="DEE0E3" w:sz="0" w:space="0"/>
            <w:insideV w:val="single" w:color="DEE0E3" w:sz="0" w:space="0"/>
          </w:tblBorders>
          <w:tblCellMar>
            <w:top w:w="0" w:type="dxa"/>
            <w:left w:w="10" w:type="dxa"/>
            <w:bottom w:w="0" w:type="dxa"/>
            <w:right w:w="10" w:type="dxa"/>
          </w:tblCellMar>
        </w:tblPrEx>
        <w:tc>
          <w:tcPr>
            <w:tcW w:w="1166" w:type="dxa"/>
            <w:tcMar>
              <w:top w:w="60" w:type="dxa"/>
              <w:left w:w="120" w:type="dxa"/>
              <w:bottom w:w="30" w:type="dxa"/>
              <w:right w:w="120" w:type="dxa"/>
            </w:tcMar>
          </w:tcPr>
          <w:p w14:paraId="5C94F17E">
            <w:pPr>
              <w:keepNext w:val="0"/>
              <w:keepLines w:val="0"/>
              <w:pageBreakBefore w:val="0"/>
              <w:kinsoku/>
              <w:wordWrap/>
              <w:overflowPunct/>
              <w:topLinePunct w:val="0"/>
              <w:autoSpaceDE/>
              <w:autoSpaceDN/>
              <w:bidi w:val="0"/>
              <w:adjustRightInd/>
              <w:snapToGrid/>
              <w:spacing w:line="360" w:lineRule="auto"/>
              <w:ind w:left="0"/>
              <w:jc w:val="both"/>
              <w:textAlignment w:val="auto"/>
              <w:rPr>
                <w:rFonts w:hint="eastAsia" w:ascii="宋体" w:hAnsi="宋体" w:eastAsia="宋体" w:cs="宋体"/>
                <w:sz w:val="24"/>
                <w:szCs w:val="24"/>
              </w:rPr>
            </w:pPr>
            <w:r>
              <w:rPr>
                <w:rFonts w:hint="eastAsia" w:ascii="宋体" w:hAnsi="宋体" w:eastAsia="宋体" w:cs="宋体"/>
                <w:sz w:val="24"/>
                <w:szCs w:val="24"/>
              </w:rPr>
              <w:t>7</w:t>
            </w:r>
          </w:p>
        </w:tc>
        <w:tc>
          <w:tcPr>
            <w:tcW w:w="2613" w:type="dxa"/>
            <w:tcMar>
              <w:top w:w="60" w:type="dxa"/>
              <w:left w:w="120" w:type="dxa"/>
              <w:bottom w:w="30" w:type="dxa"/>
              <w:right w:w="120" w:type="dxa"/>
            </w:tcMar>
          </w:tcPr>
          <w:p w14:paraId="65F756D8">
            <w:pPr>
              <w:keepNext w:val="0"/>
              <w:keepLines w:val="0"/>
              <w:pageBreakBefore w:val="0"/>
              <w:kinsoku/>
              <w:wordWrap/>
              <w:overflowPunct/>
              <w:topLinePunct w:val="0"/>
              <w:autoSpaceDE/>
              <w:autoSpaceDN/>
              <w:bidi w:val="0"/>
              <w:adjustRightInd/>
              <w:snapToGrid/>
              <w:spacing w:line="360" w:lineRule="auto"/>
              <w:ind w:left="0"/>
              <w:jc w:val="both"/>
              <w:textAlignment w:val="auto"/>
              <w:rPr>
                <w:rFonts w:hint="eastAsia" w:ascii="宋体" w:hAnsi="宋体" w:eastAsia="宋体" w:cs="宋体"/>
                <w:sz w:val="24"/>
                <w:szCs w:val="24"/>
              </w:rPr>
            </w:pPr>
            <w:r>
              <w:rPr>
                <w:rFonts w:hint="eastAsia" w:ascii="宋体" w:hAnsi="宋体" w:eastAsia="宋体" w:cs="宋体"/>
                <w:sz w:val="24"/>
                <w:szCs w:val="24"/>
              </w:rPr>
              <w:t>工频耐压水平</w:t>
            </w:r>
          </w:p>
        </w:tc>
        <w:tc>
          <w:tcPr>
            <w:tcW w:w="4501" w:type="dxa"/>
            <w:tcMar>
              <w:top w:w="60" w:type="dxa"/>
              <w:left w:w="120" w:type="dxa"/>
              <w:bottom w:w="30" w:type="dxa"/>
              <w:right w:w="120" w:type="dxa"/>
            </w:tcMar>
          </w:tcPr>
          <w:p w14:paraId="4558A3E1">
            <w:pPr>
              <w:keepNext w:val="0"/>
              <w:keepLines w:val="0"/>
              <w:pageBreakBefore w:val="0"/>
              <w:kinsoku/>
              <w:wordWrap/>
              <w:overflowPunct/>
              <w:topLinePunct w:val="0"/>
              <w:autoSpaceDE/>
              <w:autoSpaceDN/>
              <w:bidi w:val="0"/>
              <w:adjustRightInd/>
              <w:snapToGrid/>
              <w:spacing w:line="360" w:lineRule="auto"/>
              <w:ind w:left="0"/>
              <w:jc w:val="both"/>
              <w:textAlignment w:val="auto"/>
              <w:rPr>
                <w:rFonts w:hint="eastAsia" w:ascii="宋体" w:hAnsi="宋体" w:eastAsia="宋体" w:cs="宋体"/>
                <w:sz w:val="24"/>
                <w:szCs w:val="24"/>
              </w:rPr>
            </w:pPr>
            <w:r>
              <w:rPr>
                <w:rFonts w:hint="eastAsia" w:ascii="宋体" w:hAnsi="宋体" w:eastAsia="宋体" w:cs="宋体"/>
                <w:sz w:val="24"/>
                <w:szCs w:val="24"/>
              </w:rPr>
              <w:t>高压35kV/1min</w:t>
            </w:r>
          </w:p>
        </w:tc>
      </w:tr>
      <w:tr w14:paraId="197B4F86">
        <w:tblPrEx>
          <w:tblBorders>
            <w:top w:val="single" w:color="DEE0E3" w:sz="0" w:space="0"/>
            <w:left w:val="single" w:color="DEE0E3" w:sz="0" w:space="0"/>
            <w:bottom w:val="single" w:color="DEE0E3" w:sz="0" w:space="0"/>
            <w:right w:val="single" w:color="DEE0E3" w:sz="0" w:space="0"/>
            <w:insideH w:val="single" w:color="DEE0E3" w:sz="0" w:space="0"/>
            <w:insideV w:val="single" w:color="DEE0E3" w:sz="0" w:space="0"/>
          </w:tblBorders>
          <w:tblCellMar>
            <w:top w:w="0" w:type="dxa"/>
            <w:left w:w="10" w:type="dxa"/>
            <w:bottom w:w="0" w:type="dxa"/>
            <w:right w:w="10" w:type="dxa"/>
          </w:tblCellMar>
        </w:tblPrEx>
        <w:tc>
          <w:tcPr>
            <w:tcW w:w="1166" w:type="dxa"/>
            <w:tcMar>
              <w:top w:w="60" w:type="dxa"/>
              <w:left w:w="120" w:type="dxa"/>
              <w:bottom w:w="30" w:type="dxa"/>
              <w:right w:w="120" w:type="dxa"/>
            </w:tcMar>
          </w:tcPr>
          <w:p w14:paraId="1598CABD">
            <w:pPr>
              <w:keepNext w:val="0"/>
              <w:keepLines w:val="0"/>
              <w:pageBreakBefore w:val="0"/>
              <w:kinsoku/>
              <w:wordWrap/>
              <w:overflowPunct/>
              <w:topLinePunct w:val="0"/>
              <w:autoSpaceDE/>
              <w:autoSpaceDN/>
              <w:bidi w:val="0"/>
              <w:adjustRightInd/>
              <w:snapToGrid/>
              <w:spacing w:line="360" w:lineRule="auto"/>
              <w:ind w:left="0"/>
              <w:jc w:val="both"/>
              <w:textAlignment w:val="auto"/>
              <w:rPr>
                <w:rFonts w:hint="eastAsia" w:ascii="宋体" w:hAnsi="宋体" w:eastAsia="宋体" w:cs="宋体"/>
                <w:sz w:val="24"/>
                <w:szCs w:val="24"/>
              </w:rPr>
            </w:pPr>
            <w:r>
              <w:rPr>
                <w:rFonts w:hint="eastAsia" w:ascii="宋体" w:hAnsi="宋体" w:eastAsia="宋体" w:cs="宋体"/>
                <w:sz w:val="24"/>
                <w:szCs w:val="24"/>
              </w:rPr>
              <w:t>8</w:t>
            </w:r>
          </w:p>
        </w:tc>
        <w:tc>
          <w:tcPr>
            <w:tcW w:w="2613" w:type="dxa"/>
            <w:tcMar>
              <w:top w:w="60" w:type="dxa"/>
              <w:left w:w="120" w:type="dxa"/>
              <w:bottom w:w="30" w:type="dxa"/>
              <w:right w:w="120" w:type="dxa"/>
            </w:tcMar>
          </w:tcPr>
          <w:p w14:paraId="0EB52D23">
            <w:pPr>
              <w:keepNext w:val="0"/>
              <w:keepLines w:val="0"/>
              <w:pageBreakBefore w:val="0"/>
              <w:kinsoku/>
              <w:wordWrap/>
              <w:overflowPunct/>
              <w:topLinePunct w:val="0"/>
              <w:autoSpaceDE/>
              <w:autoSpaceDN/>
              <w:bidi w:val="0"/>
              <w:adjustRightInd/>
              <w:snapToGrid/>
              <w:spacing w:line="360" w:lineRule="auto"/>
              <w:ind w:left="0"/>
              <w:jc w:val="both"/>
              <w:textAlignment w:val="auto"/>
              <w:rPr>
                <w:rFonts w:hint="eastAsia" w:ascii="宋体" w:hAnsi="宋体" w:eastAsia="宋体" w:cs="宋体"/>
                <w:sz w:val="24"/>
                <w:szCs w:val="24"/>
              </w:rPr>
            </w:pPr>
            <w:r>
              <w:rPr>
                <w:rFonts w:hint="eastAsia" w:ascii="宋体" w:hAnsi="宋体" w:eastAsia="宋体" w:cs="宋体"/>
                <w:sz w:val="24"/>
                <w:szCs w:val="24"/>
              </w:rPr>
              <w:t>雷电冲击耐压</w:t>
            </w:r>
          </w:p>
        </w:tc>
        <w:tc>
          <w:tcPr>
            <w:tcW w:w="4501" w:type="dxa"/>
            <w:tcMar>
              <w:top w:w="60" w:type="dxa"/>
              <w:left w:w="120" w:type="dxa"/>
              <w:bottom w:w="30" w:type="dxa"/>
              <w:right w:w="120" w:type="dxa"/>
            </w:tcMar>
          </w:tcPr>
          <w:p w14:paraId="5E292331">
            <w:pPr>
              <w:keepNext w:val="0"/>
              <w:keepLines w:val="0"/>
              <w:pageBreakBefore w:val="0"/>
              <w:kinsoku/>
              <w:wordWrap/>
              <w:overflowPunct/>
              <w:topLinePunct w:val="0"/>
              <w:autoSpaceDE/>
              <w:autoSpaceDN/>
              <w:bidi w:val="0"/>
              <w:adjustRightInd/>
              <w:snapToGrid/>
              <w:spacing w:line="360" w:lineRule="auto"/>
              <w:ind w:left="0"/>
              <w:jc w:val="both"/>
              <w:textAlignment w:val="auto"/>
              <w:rPr>
                <w:rFonts w:hint="eastAsia" w:ascii="宋体" w:hAnsi="宋体" w:eastAsia="宋体" w:cs="宋体"/>
                <w:sz w:val="24"/>
                <w:szCs w:val="24"/>
              </w:rPr>
            </w:pPr>
            <w:r>
              <w:rPr>
                <w:rFonts w:hint="eastAsia" w:ascii="宋体" w:hAnsi="宋体" w:eastAsia="宋体" w:cs="宋体"/>
                <w:sz w:val="24"/>
                <w:szCs w:val="24"/>
              </w:rPr>
              <w:t>75kV（峰值）</w:t>
            </w:r>
          </w:p>
        </w:tc>
      </w:tr>
      <w:tr w14:paraId="6E3EE674">
        <w:tblPrEx>
          <w:tblBorders>
            <w:top w:val="single" w:color="DEE0E3" w:sz="0" w:space="0"/>
            <w:left w:val="single" w:color="DEE0E3" w:sz="0" w:space="0"/>
            <w:bottom w:val="single" w:color="DEE0E3" w:sz="0" w:space="0"/>
            <w:right w:val="single" w:color="DEE0E3" w:sz="0" w:space="0"/>
            <w:insideH w:val="single" w:color="DEE0E3" w:sz="0" w:space="0"/>
            <w:insideV w:val="single" w:color="DEE0E3" w:sz="0" w:space="0"/>
          </w:tblBorders>
          <w:tblCellMar>
            <w:top w:w="0" w:type="dxa"/>
            <w:left w:w="10" w:type="dxa"/>
            <w:bottom w:w="0" w:type="dxa"/>
            <w:right w:w="10" w:type="dxa"/>
          </w:tblCellMar>
        </w:tblPrEx>
        <w:tc>
          <w:tcPr>
            <w:tcW w:w="1166" w:type="dxa"/>
            <w:tcMar>
              <w:top w:w="60" w:type="dxa"/>
              <w:left w:w="120" w:type="dxa"/>
              <w:bottom w:w="30" w:type="dxa"/>
              <w:right w:w="120" w:type="dxa"/>
            </w:tcMar>
          </w:tcPr>
          <w:p w14:paraId="0636DE06">
            <w:pPr>
              <w:keepNext w:val="0"/>
              <w:keepLines w:val="0"/>
              <w:pageBreakBefore w:val="0"/>
              <w:kinsoku/>
              <w:wordWrap/>
              <w:overflowPunct/>
              <w:topLinePunct w:val="0"/>
              <w:autoSpaceDE/>
              <w:autoSpaceDN/>
              <w:bidi w:val="0"/>
              <w:adjustRightInd/>
              <w:snapToGrid/>
              <w:spacing w:line="360" w:lineRule="auto"/>
              <w:ind w:left="0"/>
              <w:jc w:val="both"/>
              <w:textAlignment w:val="auto"/>
              <w:rPr>
                <w:rFonts w:hint="eastAsia" w:ascii="宋体" w:hAnsi="宋体" w:eastAsia="宋体" w:cs="宋体"/>
                <w:sz w:val="24"/>
                <w:szCs w:val="24"/>
              </w:rPr>
            </w:pPr>
            <w:r>
              <w:rPr>
                <w:rFonts w:hint="eastAsia" w:ascii="宋体" w:hAnsi="宋体" w:eastAsia="宋体" w:cs="宋体"/>
                <w:sz w:val="24"/>
                <w:szCs w:val="24"/>
              </w:rPr>
              <w:t>9</w:t>
            </w:r>
          </w:p>
        </w:tc>
        <w:tc>
          <w:tcPr>
            <w:tcW w:w="2613" w:type="dxa"/>
            <w:tcMar>
              <w:top w:w="60" w:type="dxa"/>
              <w:left w:w="120" w:type="dxa"/>
              <w:bottom w:w="30" w:type="dxa"/>
              <w:right w:w="120" w:type="dxa"/>
            </w:tcMar>
          </w:tcPr>
          <w:p w14:paraId="52DFE582">
            <w:pPr>
              <w:keepNext w:val="0"/>
              <w:keepLines w:val="0"/>
              <w:pageBreakBefore w:val="0"/>
              <w:kinsoku/>
              <w:wordWrap/>
              <w:overflowPunct/>
              <w:topLinePunct w:val="0"/>
              <w:autoSpaceDE/>
              <w:autoSpaceDN/>
              <w:bidi w:val="0"/>
              <w:adjustRightInd/>
              <w:snapToGrid/>
              <w:spacing w:line="360" w:lineRule="auto"/>
              <w:ind w:left="0"/>
              <w:jc w:val="both"/>
              <w:textAlignment w:val="auto"/>
              <w:rPr>
                <w:rFonts w:hint="eastAsia" w:ascii="宋体" w:hAnsi="宋体" w:eastAsia="宋体" w:cs="宋体"/>
                <w:sz w:val="24"/>
                <w:szCs w:val="24"/>
              </w:rPr>
            </w:pPr>
            <w:r>
              <w:rPr>
                <w:rFonts w:hint="eastAsia" w:ascii="宋体" w:hAnsi="宋体" w:eastAsia="宋体" w:cs="宋体"/>
                <w:sz w:val="24"/>
                <w:szCs w:val="24"/>
              </w:rPr>
              <w:t>设备噪声</w:t>
            </w:r>
          </w:p>
        </w:tc>
        <w:tc>
          <w:tcPr>
            <w:tcW w:w="4501" w:type="dxa"/>
            <w:tcMar>
              <w:top w:w="60" w:type="dxa"/>
              <w:left w:w="120" w:type="dxa"/>
              <w:bottom w:w="30" w:type="dxa"/>
              <w:right w:w="120" w:type="dxa"/>
            </w:tcMar>
          </w:tcPr>
          <w:p w14:paraId="3EF3DC7E">
            <w:pPr>
              <w:keepNext w:val="0"/>
              <w:keepLines w:val="0"/>
              <w:pageBreakBefore w:val="0"/>
              <w:kinsoku/>
              <w:wordWrap/>
              <w:overflowPunct/>
              <w:topLinePunct w:val="0"/>
              <w:autoSpaceDE/>
              <w:autoSpaceDN/>
              <w:bidi w:val="0"/>
              <w:adjustRightInd/>
              <w:snapToGrid/>
              <w:spacing w:line="360" w:lineRule="auto"/>
              <w:ind w:left="0"/>
              <w:jc w:val="both"/>
              <w:textAlignment w:val="auto"/>
              <w:rPr>
                <w:rFonts w:hint="eastAsia" w:ascii="宋体" w:hAnsi="宋体" w:eastAsia="宋体" w:cs="宋体"/>
                <w:sz w:val="24"/>
                <w:szCs w:val="24"/>
              </w:rPr>
            </w:pPr>
            <w:r>
              <w:rPr>
                <w:rFonts w:hint="eastAsia" w:ascii="宋体" w:hAnsi="宋体" w:eastAsia="宋体" w:cs="宋体"/>
                <w:sz w:val="24"/>
                <w:szCs w:val="24"/>
              </w:rPr>
              <w:t>≤55dB</w:t>
            </w:r>
          </w:p>
        </w:tc>
      </w:tr>
      <w:tr w14:paraId="515092D5">
        <w:tblPrEx>
          <w:tblBorders>
            <w:top w:val="single" w:color="DEE0E3" w:sz="0" w:space="0"/>
            <w:left w:val="single" w:color="DEE0E3" w:sz="0" w:space="0"/>
            <w:bottom w:val="single" w:color="DEE0E3" w:sz="0" w:space="0"/>
            <w:right w:val="single" w:color="DEE0E3" w:sz="0" w:space="0"/>
            <w:insideH w:val="single" w:color="DEE0E3" w:sz="0" w:space="0"/>
            <w:insideV w:val="single" w:color="DEE0E3" w:sz="0" w:space="0"/>
          </w:tblBorders>
          <w:tblCellMar>
            <w:top w:w="0" w:type="dxa"/>
            <w:left w:w="10" w:type="dxa"/>
            <w:bottom w:w="0" w:type="dxa"/>
            <w:right w:w="10" w:type="dxa"/>
          </w:tblCellMar>
        </w:tblPrEx>
        <w:tc>
          <w:tcPr>
            <w:tcW w:w="1166" w:type="dxa"/>
            <w:tcMar>
              <w:top w:w="60" w:type="dxa"/>
              <w:left w:w="120" w:type="dxa"/>
              <w:bottom w:w="30" w:type="dxa"/>
              <w:right w:w="120" w:type="dxa"/>
            </w:tcMar>
          </w:tcPr>
          <w:p w14:paraId="46FEDB21">
            <w:pPr>
              <w:keepNext w:val="0"/>
              <w:keepLines w:val="0"/>
              <w:pageBreakBefore w:val="0"/>
              <w:kinsoku/>
              <w:wordWrap/>
              <w:overflowPunct/>
              <w:topLinePunct w:val="0"/>
              <w:autoSpaceDE/>
              <w:autoSpaceDN/>
              <w:bidi w:val="0"/>
              <w:adjustRightInd/>
              <w:snapToGrid/>
              <w:spacing w:line="360" w:lineRule="auto"/>
              <w:ind w:left="0"/>
              <w:jc w:val="both"/>
              <w:textAlignment w:val="auto"/>
              <w:rPr>
                <w:rFonts w:hint="eastAsia" w:ascii="宋体" w:hAnsi="宋体" w:eastAsia="宋体" w:cs="宋体"/>
                <w:sz w:val="24"/>
                <w:szCs w:val="24"/>
              </w:rPr>
            </w:pPr>
            <w:r>
              <w:rPr>
                <w:rFonts w:hint="eastAsia" w:ascii="宋体" w:hAnsi="宋体" w:eastAsia="宋体" w:cs="宋体"/>
                <w:sz w:val="24"/>
                <w:szCs w:val="24"/>
              </w:rPr>
              <w:t>10</w:t>
            </w:r>
          </w:p>
        </w:tc>
        <w:tc>
          <w:tcPr>
            <w:tcW w:w="2613" w:type="dxa"/>
            <w:tcMar>
              <w:top w:w="60" w:type="dxa"/>
              <w:left w:w="120" w:type="dxa"/>
              <w:bottom w:w="30" w:type="dxa"/>
              <w:right w:w="120" w:type="dxa"/>
            </w:tcMar>
          </w:tcPr>
          <w:p w14:paraId="2A232F71">
            <w:pPr>
              <w:keepNext w:val="0"/>
              <w:keepLines w:val="0"/>
              <w:pageBreakBefore w:val="0"/>
              <w:kinsoku/>
              <w:wordWrap/>
              <w:overflowPunct/>
              <w:topLinePunct w:val="0"/>
              <w:autoSpaceDE/>
              <w:autoSpaceDN/>
              <w:bidi w:val="0"/>
              <w:adjustRightInd/>
              <w:snapToGrid/>
              <w:spacing w:line="360" w:lineRule="auto"/>
              <w:ind w:left="0"/>
              <w:jc w:val="both"/>
              <w:textAlignment w:val="auto"/>
              <w:rPr>
                <w:rFonts w:hint="eastAsia" w:ascii="宋体" w:hAnsi="宋体" w:eastAsia="宋体" w:cs="宋体"/>
                <w:sz w:val="24"/>
                <w:szCs w:val="24"/>
              </w:rPr>
            </w:pPr>
            <w:r>
              <w:rPr>
                <w:rFonts w:hint="eastAsia" w:ascii="宋体" w:hAnsi="宋体" w:eastAsia="宋体" w:cs="宋体"/>
                <w:sz w:val="24"/>
                <w:szCs w:val="24"/>
              </w:rPr>
              <w:t>箱体防护等级</w:t>
            </w:r>
          </w:p>
        </w:tc>
        <w:tc>
          <w:tcPr>
            <w:tcW w:w="4501" w:type="dxa"/>
            <w:tcMar>
              <w:top w:w="60" w:type="dxa"/>
              <w:left w:w="120" w:type="dxa"/>
              <w:bottom w:w="30" w:type="dxa"/>
              <w:right w:w="120" w:type="dxa"/>
            </w:tcMar>
          </w:tcPr>
          <w:p w14:paraId="51E8E571">
            <w:pPr>
              <w:keepNext w:val="0"/>
              <w:keepLines w:val="0"/>
              <w:pageBreakBefore w:val="0"/>
              <w:kinsoku/>
              <w:wordWrap/>
              <w:overflowPunct/>
              <w:topLinePunct w:val="0"/>
              <w:autoSpaceDE/>
              <w:autoSpaceDN/>
              <w:bidi w:val="0"/>
              <w:adjustRightInd/>
              <w:snapToGrid/>
              <w:spacing w:line="360" w:lineRule="auto"/>
              <w:ind w:left="0"/>
              <w:jc w:val="both"/>
              <w:textAlignment w:val="auto"/>
              <w:rPr>
                <w:rFonts w:hint="eastAsia" w:ascii="宋体" w:hAnsi="宋体" w:eastAsia="宋体" w:cs="宋体"/>
                <w:sz w:val="24"/>
                <w:szCs w:val="24"/>
              </w:rPr>
            </w:pPr>
            <w:r>
              <w:rPr>
                <w:rFonts w:hint="eastAsia" w:ascii="宋体" w:hAnsi="宋体" w:eastAsia="宋体" w:cs="宋体"/>
                <w:sz w:val="24"/>
                <w:szCs w:val="24"/>
              </w:rPr>
              <w:t>本体IP33D，低压室IP43D</w:t>
            </w:r>
          </w:p>
        </w:tc>
      </w:tr>
      <w:tr w14:paraId="00954470">
        <w:tblPrEx>
          <w:tblBorders>
            <w:top w:val="single" w:color="DEE0E3" w:sz="0" w:space="0"/>
            <w:left w:val="single" w:color="DEE0E3" w:sz="0" w:space="0"/>
            <w:bottom w:val="single" w:color="DEE0E3" w:sz="0" w:space="0"/>
            <w:right w:val="single" w:color="DEE0E3" w:sz="0" w:space="0"/>
            <w:insideH w:val="single" w:color="DEE0E3" w:sz="0" w:space="0"/>
            <w:insideV w:val="single" w:color="DEE0E3" w:sz="0" w:space="0"/>
          </w:tblBorders>
          <w:tblCellMar>
            <w:top w:w="0" w:type="dxa"/>
            <w:left w:w="10" w:type="dxa"/>
            <w:bottom w:w="0" w:type="dxa"/>
            <w:right w:w="10" w:type="dxa"/>
          </w:tblCellMar>
        </w:tblPrEx>
        <w:tc>
          <w:tcPr>
            <w:tcW w:w="1166" w:type="dxa"/>
            <w:tcMar>
              <w:top w:w="60" w:type="dxa"/>
              <w:left w:w="120" w:type="dxa"/>
              <w:bottom w:w="30" w:type="dxa"/>
              <w:right w:w="120" w:type="dxa"/>
            </w:tcMar>
          </w:tcPr>
          <w:p w14:paraId="16E5AB31">
            <w:pPr>
              <w:keepNext w:val="0"/>
              <w:keepLines w:val="0"/>
              <w:pageBreakBefore w:val="0"/>
              <w:kinsoku/>
              <w:wordWrap/>
              <w:overflowPunct/>
              <w:topLinePunct w:val="0"/>
              <w:autoSpaceDE/>
              <w:autoSpaceDN/>
              <w:bidi w:val="0"/>
              <w:adjustRightInd/>
              <w:snapToGrid/>
              <w:spacing w:line="360" w:lineRule="auto"/>
              <w:ind w:left="0"/>
              <w:jc w:val="both"/>
              <w:textAlignment w:val="auto"/>
              <w:rPr>
                <w:rFonts w:hint="default" w:ascii="宋体" w:hAnsi="宋体" w:eastAsia="宋体" w:cs="宋体"/>
                <w:sz w:val="24"/>
                <w:szCs w:val="24"/>
                <w:lang w:val="en-US" w:eastAsia="zh-CN"/>
              </w:rPr>
            </w:pPr>
            <w:bookmarkStart w:id="4" w:name="heading_6"/>
            <w:r>
              <w:rPr>
                <w:rFonts w:hint="eastAsia" w:ascii="宋体" w:hAnsi="宋体" w:eastAsia="宋体" w:cs="宋体"/>
                <w:sz w:val="24"/>
                <w:szCs w:val="24"/>
                <w:lang w:val="en-US" w:eastAsia="zh-CN"/>
              </w:rPr>
              <w:t>11</w:t>
            </w:r>
          </w:p>
        </w:tc>
        <w:tc>
          <w:tcPr>
            <w:tcW w:w="2613" w:type="dxa"/>
            <w:tcMar>
              <w:top w:w="60" w:type="dxa"/>
              <w:left w:w="120" w:type="dxa"/>
              <w:bottom w:w="30" w:type="dxa"/>
              <w:right w:w="120" w:type="dxa"/>
            </w:tcMar>
          </w:tcPr>
          <w:p w14:paraId="16E80612">
            <w:pPr>
              <w:keepNext w:val="0"/>
              <w:keepLines w:val="0"/>
              <w:pageBreakBefore w:val="0"/>
              <w:kinsoku/>
              <w:wordWrap/>
              <w:overflowPunct/>
              <w:topLinePunct w:val="0"/>
              <w:autoSpaceDE/>
              <w:autoSpaceDN/>
              <w:bidi w:val="0"/>
              <w:adjustRightInd/>
              <w:snapToGrid/>
              <w:spacing w:line="360" w:lineRule="auto"/>
              <w:ind w:left="0"/>
              <w:jc w:val="both"/>
              <w:textAlignment w:val="auto"/>
              <w:rPr>
                <w:rFonts w:hint="eastAsia" w:ascii="宋体" w:hAnsi="宋体" w:eastAsia="宋体" w:cs="宋体"/>
                <w:sz w:val="24"/>
                <w:szCs w:val="24"/>
              </w:rPr>
            </w:pPr>
            <w:r>
              <w:rPr>
                <w:rFonts w:hint="eastAsia" w:ascii="宋体" w:hAnsi="宋体" w:eastAsia="宋体" w:cs="宋体"/>
                <w:sz w:val="24"/>
                <w:szCs w:val="24"/>
              </w:rPr>
              <w:t>短路抗阻（%）</w:t>
            </w:r>
          </w:p>
        </w:tc>
        <w:tc>
          <w:tcPr>
            <w:tcW w:w="4501" w:type="dxa"/>
            <w:tcMar>
              <w:top w:w="60" w:type="dxa"/>
              <w:left w:w="120" w:type="dxa"/>
              <w:bottom w:w="30" w:type="dxa"/>
              <w:right w:w="120" w:type="dxa"/>
            </w:tcMar>
          </w:tcPr>
          <w:p w14:paraId="64BC1BC3">
            <w:pPr>
              <w:keepNext w:val="0"/>
              <w:keepLines w:val="0"/>
              <w:pageBreakBefore w:val="0"/>
              <w:kinsoku/>
              <w:wordWrap/>
              <w:overflowPunct/>
              <w:topLinePunct w:val="0"/>
              <w:autoSpaceDE/>
              <w:autoSpaceDN/>
              <w:bidi w:val="0"/>
              <w:adjustRightInd/>
              <w:snapToGrid/>
              <w:spacing w:line="360" w:lineRule="auto"/>
              <w:ind w:left="0"/>
              <w:jc w:val="both"/>
              <w:textAlignment w:val="auto"/>
              <w:rPr>
                <w:rFonts w:hint="default" w:ascii="宋体" w:hAnsi="宋体" w:eastAsia="宋体" w:cs="宋体"/>
                <w:sz w:val="24"/>
                <w:szCs w:val="24"/>
                <w:lang w:val="en-US" w:eastAsia="zh-CN"/>
              </w:rPr>
            </w:pPr>
            <w:r>
              <w:rPr>
                <w:rFonts w:hint="eastAsia" w:ascii="宋体" w:hAnsi="宋体" w:eastAsia="宋体" w:cs="宋体"/>
                <w:sz w:val="24"/>
                <w:szCs w:val="24"/>
                <w:lang w:val="en-US" w:eastAsia="zh-CN"/>
              </w:rPr>
              <w:t>4.5(630kVA)/4（500kVA)</w:t>
            </w:r>
          </w:p>
        </w:tc>
      </w:tr>
      <w:tr w14:paraId="6FB6E17F">
        <w:tblPrEx>
          <w:tblBorders>
            <w:top w:val="single" w:color="DEE0E3" w:sz="0" w:space="0"/>
            <w:left w:val="single" w:color="DEE0E3" w:sz="0" w:space="0"/>
            <w:bottom w:val="single" w:color="DEE0E3" w:sz="0" w:space="0"/>
            <w:right w:val="single" w:color="DEE0E3" w:sz="0" w:space="0"/>
            <w:insideH w:val="single" w:color="DEE0E3" w:sz="0" w:space="0"/>
            <w:insideV w:val="single" w:color="DEE0E3" w:sz="0" w:space="0"/>
          </w:tblBorders>
          <w:tblCellMar>
            <w:top w:w="0" w:type="dxa"/>
            <w:left w:w="10" w:type="dxa"/>
            <w:bottom w:w="0" w:type="dxa"/>
            <w:right w:w="10" w:type="dxa"/>
          </w:tblCellMar>
        </w:tblPrEx>
        <w:tc>
          <w:tcPr>
            <w:tcW w:w="1166" w:type="dxa"/>
            <w:tcMar>
              <w:top w:w="60" w:type="dxa"/>
              <w:left w:w="120" w:type="dxa"/>
              <w:bottom w:w="30" w:type="dxa"/>
              <w:right w:w="120" w:type="dxa"/>
            </w:tcMar>
          </w:tcPr>
          <w:p w14:paraId="7EC74376">
            <w:pPr>
              <w:keepNext w:val="0"/>
              <w:keepLines w:val="0"/>
              <w:pageBreakBefore w:val="0"/>
              <w:kinsoku/>
              <w:wordWrap/>
              <w:overflowPunct/>
              <w:topLinePunct w:val="0"/>
              <w:autoSpaceDE/>
              <w:autoSpaceDN/>
              <w:bidi w:val="0"/>
              <w:adjustRightInd/>
              <w:snapToGrid/>
              <w:spacing w:line="360" w:lineRule="auto"/>
              <w:ind w:left="0"/>
              <w:jc w:val="both"/>
              <w:textAlignment w:val="auto"/>
              <w:rPr>
                <w:rFonts w:hint="default" w:ascii="宋体" w:hAnsi="宋体" w:eastAsia="宋体" w:cs="宋体"/>
                <w:sz w:val="24"/>
                <w:szCs w:val="24"/>
                <w:lang w:val="en-US" w:eastAsia="zh-CN"/>
              </w:rPr>
            </w:pPr>
            <w:r>
              <w:rPr>
                <w:rFonts w:hint="eastAsia" w:ascii="宋体" w:hAnsi="宋体" w:eastAsia="宋体" w:cs="宋体"/>
                <w:sz w:val="24"/>
                <w:szCs w:val="24"/>
                <w:lang w:val="en-US" w:eastAsia="zh-CN"/>
              </w:rPr>
              <w:t>12</w:t>
            </w:r>
          </w:p>
        </w:tc>
        <w:tc>
          <w:tcPr>
            <w:tcW w:w="2613" w:type="dxa"/>
            <w:tcMar>
              <w:top w:w="60" w:type="dxa"/>
              <w:left w:w="120" w:type="dxa"/>
              <w:bottom w:w="30" w:type="dxa"/>
              <w:right w:w="120" w:type="dxa"/>
            </w:tcMar>
          </w:tcPr>
          <w:p w14:paraId="6255A9EF">
            <w:pPr>
              <w:keepNext w:val="0"/>
              <w:keepLines w:val="0"/>
              <w:pageBreakBefore w:val="0"/>
              <w:kinsoku/>
              <w:wordWrap/>
              <w:overflowPunct/>
              <w:topLinePunct w:val="0"/>
              <w:autoSpaceDE/>
              <w:autoSpaceDN/>
              <w:bidi w:val="0"/>
              <w:adjustRightInd/>
              <w:snapToGrid/>
              <w:spacing w:line="360" w:lineRule="auto"/>
              <w:ind w:left="0"/>
              <w:jc w:val="both"/>
              <w:textAlignment w:val="auto"/>
              <w:rPr>
                <w:rFonts w:hint="eastAsia" w:ascii="宋体" w:hAnsi="宋体" w:eastAsia="宋体" w:cs="宋体"/>
                <w:sz w:val="24"/>
                <w:szCs w:val="24"/>
              </w:rPr>
            </w:pPr>
            <w:r>
              <w:rPr>
                <w:rFonts w:hint="eastAsia" w:ascii="宋体" w:hAnsi="宋体" w:eastAsia="宋体" w:cs="宋体"/>
                <w:sz w:val="24"/>
                <w:szCs w:val="24"/>
              </w:rPr>
              <w:t>空载电流（%）</w:t>
            </w:r>
          </w:p>
        </w:tc>
        <w:tc>
          <w:tcPr>
            <w:tcW w:w="4501" w:type="dxa"/>
            <w:tcMar>
              <w:top w:w="60" w:type="dxa"/>
              <w:left w:w="120" w:type="dxa"/>
              <w:bottom w:w="30" w:type="dxa"/>
              <w:right w:w="120" w:type="dxa"/>
            </w:tcMar>
          </w:tcPr>
          <w:p w14:paraId="151D1848">
            <w:pPr>
              <w:keepNext w:val="0"/>
              <w:keepLines w:val="0"/>
              <w:pageBreakBefore w:val="0"/>
              <w:kinsoku/>
              <w:wordWrap/>
              <w:overflowPunct/>
              <w:topLinePunct w:val="0"/>
              <w:autoSpaceDE/>
              <w:autoSpaceDN/>
              <w:bidi w:val="0"/>
              <w:adjustRightInd/>
              <w:snapToGrid/>
              <w:spacing w:line="360" w:lineRule="auto"/>
              <w:ind w:left="0"/>
              <w:jc w:val="both"/>
              <w:textAlignment w:val="auto"/>
              <w:rPr>
                <w:rFonts w:hint="default" w:ascii="宋体" w:hAnsi="宋体" w:eastAsia="宋体" w:cs="宋体"/>
                <w:sz w:val="24"/>
                <w:szCs w:val="24"/>
                <w:lang w:val="en-US" w:eastAsia="zh-CN"/>
              </w:rPr>
            </w:pPr>
            <w:r>
              <w:rPr>
                <w:rFonts w:hint="eastAsia" w:ascii="宋体" w:hAnsi="宋体" w:eastAsia="宋体" w:cs="宋体"/>
                <w:sz w:val="24"/>
                <w:szCs w:val="24"/>
                <w:lang w:val="en-US" w:eastAsia="zh-CN"/>
              </w:rPr>
              <w:t>0.7</w:t>
            </w:r>
          </w:p>
        </w:tc>
      </w:tr>
      <w:tr w14:paraId="62F78DE1">
        <w:tblPrEx>
          <w:tblBorders>
            <w:top w:val="single" w:color="DEE0E3" w:sz="0" w:space="0"/>
            <w:left w:val="single" w:color="DEE0E3" w:sz="0" w:space="0"/>
            <w:bottom w:val="single" w:color="DEE0E3" w:sz="0" w:space="0"/>
            <w:right w:val="single" w:color="DEE0E3" w:sz="0" w:space="0"/>
            <w:insideH w:val="single" w:color="DEE0E3" w:sz="0" w:space="0"/>
            <w:insideV w:val="single" w:color="DEE0E3" w:sz="0" w:space="0"/>
          </w:tblBorders>
          <w:tblCellMar>
            <w:top w:w="0" w:type="dxa"/>
            <w:left w:w="10" w:type="dxa"/>
            <w:bottom w:w="0" w:type="dxa"/>
            <w:right w:w="10" w:type="dxa"/>
          </w:tblCellMar>
        </w:tblPrEx>
        <w:tc>
          <w:tcPr>
            <w:tcW w:w="1166" w:type="dxa"/>
            <w:tcMar>
              <w:top w:w="60" w:type="dxa"/>
              <w:left w:w="120" w:type="dxa"/>
              <w:bottom w:w="30" w:type="dxa"/>
              <w:right w:w="120" w:type="dxa"/>
            </w:tcMar>
          </w:tcPr>
          <w:p w14:paraId="33881529">
            <w:pPr>
              <w:keepNext w:val="0"/>
              <w:keepLines w:val="0"/>
              <w:pageBreakBefore w:val="0"/>
              <w:kinsoku/>
              <w:wordWrap/>
              <w:overflowPunct/>
              <w:topLinePunct w:val="0"/>
              <w:autoSpaceDE/>
              <w:autoSpaceDN/>
              <w:bidi w:val="0"/>
              <w:adjustRightInd/>
              <w:snapToGrid/>
              <w:spacing w:line="360" w:lineRule="auto"/>
              <w:ind w:left="0"/>
              <w:jc w:val="both"/>
              <w:textAlignment w:val="auto"/>
              <w:rPr>
                <w:rFonts w:hint="default" w:ascii="宋体" w:hAnsi="宋体" w:eastAsia="宋体" w:cs="宋体"/>
                <w:sz w:val="24"/>
                <w:szCs w:val="24"/>
                <w:lang w:val="en-US" w:eastAsia="zh-CN"/>
              </w:rPr>
            </w:pPr>
            <w:r>
              <w:rPr>
                <w:rFonts w:hint="eastAsia" w:ascii="宋体" w:hAnsi="宋体" w:eastAsia="宋体" w:cs="宋体"/>
                <w:sz w:val="24"/>
                <w:szCs w:val="24"/>
                <w:lang w:val="en-US" w:eastAsia="zh-CN"/>
              </w:rPr>
              <w:t>13</w:t>
            </w:r>
          </w:p>
        </w:tc>
        <w:tc>
          <w:tcPr>
            <w:tcW w:w="2613" w:type="dxa"/>
            <w:tcMar>
              <w:top w:w="60" w:type="dxa"/>
              <w:left w:w="120" w:type="dxa"/>
              <w:bottom w:w="30" w:type="dxa"/>
              <w:right w:w="120" w:type="dxa"/>
            </w:tcMar>
          </w:tcPr>
          <w:p w14:paraId="49E75E81">
            <w:pPr>
              <w:keepNext w:val="0"/>
              <w:keepLines w:val="0"/>
              <w:pageBreakBefore w:val="0"/>
              <w:kinsoku/>
              <w:wordWrap/>
              <w:overflowPunct/>
              <w:topLinePunct w:val="0"/>
              <w:autoSpaceDE/>
              <w:autoSpaceDN/>
              <w:bidi w:val="0"/>
              <w:adjustRightInd/>
              <w:snapToGrid/>
              <w:spacing w:line="360" w:lineRule="auto"/>
              <w:ind w:left="0"/>
              <w:jc w:val="both"/>
              <w:textAlignment w:val="auto"/>
              <w:rPr>
                <w:rFonts w:hint="eastAsia" w:ascii="宋体" w:hAnsi="宋体" w:eastAsia="宋体" w:cs="宋体"/>
                <w:sz w:val="24"/>
                <w:szCs w:val="24"/>
              </w:rPr>
            </w:pPr>
            <w:r>
              <w:rPr>
                <w:rFonts w:hint="eastAsia" w:ascii="宋体" w:hAnsi="宋体" w:eastAsia="宋体" w:cs="宋体"/>
                <w:sz w:val="24"/>
                <w:szCs w:val="24"/>
                <w:lang w:val="en-US" w:eastAsia="zh-CN"/>
              </w:rPr>
              <w:t>绕组材质</w:t>
            </w:r>
          </w:p>
        </w:tc>
        <w:tc>
          <w:tcPr>
            <w:tcW w:w="4501" w:type="dxa"/>
            <w:tcMar>
              <w:top w:w="60" w:type="dxa"/>
              <w:left w:w="120" w:type="dxa"/>
              <w:bottom w:w="30" w:type="dxa"/>
              <w:right w:w="120" w:type="dxa"/>
            </w:tcMar>
          </w:tcPr>
          <w:p w14:paraId="08721681">
            <w:pPr>
              <w:keepNext w:val="0"/>
              <w:keepLines w:val="0"/>
              <w:pageBreakBefore w:val="0"/>
              <w:kinsoku/>
              <w:wordWrap/>
              <w:overflowPunct/>
              <w:topLinePunct w:val="0"/>
              <w:autoSpaceDE/>
              <w:autoSpaceDN/>
              <w:bidi w:val="0"/>
              <w:adjustRightInd/>
              <w:snapToGrid/>
              <w:spacing w:line="360" w:lineRule="auto"/>
              <w:ind w:left="0"/>
              <w:jc w:val="both"/>
              <w:textAlignment w:val="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全铜、全新、采用纯度≥99.5%</w:t>
            </w:r>
          </w:p>
        </w:tc>
      </w:tr>
      <w:tr w14:paraId="19AAD965">
        <w:tblPrEx>
          <w:tblBorders>
            <w:top w:val="single" w:color="DEE0E3" w:sz="0" w:space="0"/>
            <w:left w:val="single" w:color="DEE0E3" w:sz="0" w:space="0"/>
            <w:bottom w:val="single" w:color="DEE0E3" w:sz="0" w:space="0"/>
            <w:right w:val="single" w:color="DEE0E3" w:sz="0" w:space="0"/>
            <w:insideH w:val="single" w:color="DEE0E3" w:sz="0" w:space="0"/>
            <w:insideV w:val="single" w:color="DEE0E3" w:sz="0" w:space="0"/>
          </w:tblBorders>
          <w:tblCellMar>
            <w:top w:w="0" w:type="dxa"/>
            <w:left w:w="10" w:type="dxa"/>
            <w:bottom w:w="0" w:type="dxa"/>
            <w:right w:w="10" w:type="dxa"/>
          </w:tblCellMar>
        </w:tblPrEx>
        <w:tc>
          <w:tcPr>
            <w:tcW w:w="1166" w:type="dxa"/>
            <w:tcMar>
              <w:top w:w="60" w:type="dxa"/>
              <w:left w:w="120" w:type="dxa"/>
              <w:bottom w:w="30" w:type="dxa"/>
              <w:right w:w="120" w:type="dxa"/>
            </w:tcMar>
          </w:tcPr>
          <w:p w14:paraId="4E2A7961">
            <w:pPr>
              <w:keepNext w:val="0"/>
              <w:keepLines w:val="0"/>
              <w:pageBreakBefore w:val="0"/>
              <w:kinsoku/>
              <w:wordWrap/>
              <w:overflowPunct/>
              <w:topLinePunct w:val="0"/>
              <w:autoSpaceDE/>
              <w:autoSpaceDN/>
              <w:bidi w:val="0"/>
              <w:adjustRightInd/>
              <w:snapToGrid/>
              <w:spacing w:line="360" w:lineRule="auto"/>
              <w:ind w:left="0"/>
              <w:jc w:val="both"/>
              <w:textAlignment w:val="auto"/>
              <w:rPr>
                <w:rFonts w:hint="default" w:ascii="宋体" w:hAnsi="宋体" w:eastAsia="宋体" w:cs="宋体"/>
                <w:sz w:val="24"/>
                <w:szCs w:val="24"/>
                <w:lang w:val="en-US" w:eastAsia="zh-CN"/>
              </w:rPr>
            </w:pPr>
            <w:r>
              <w:rPr>
                <w:rFonts w:hint="eastAsia" w:ascii="宋体" w:hAnsi="宋体" w:eastAsia="宋体" w:cs="宋体"/>
                <w:sz w:val="24"/>
                <w:szCs w:val="24"/>
                <w:lang w:val="en-US" w:eastAsia="zh-CN"/>
              </w:rPr>
              <w:t>14</w:t>
            </w:r>
          </w:p>
        </w:tc>
        <w:tc>
          <w:tcPr>
            <w:tcW w:w="2613" w:type="dxa"/>
            <w:tcMar>
              <w:top w:w="60" w:type="dxa"/>
              <w:left w:w="120" w:type="dxa"/>
              <w:bottom w:w="30" w:type="dxa"/>
              <w:right w:w="120" w:type="dxa"/>
            </w:tcMar>
          </w:tcPr>
          <w:p w14:paraId="380D807E">
            <w:pPr>
              <w:keepNext w:val="0"/>
              <w:keepLines w:val="0"/>
              <w:pageBreakBefore w:val="0"/>
              <w:kinsoku/>
              <w:wordWrap/>
              <w:overflowPunct/>
              <w:topLinePunct w:val="0"/>
              <w:autoSpaceDE/>
              <w:autoSpaceDN/>
              <w:bidi w:val="0"/>
              <w:adjustRightInd/>
              <w:snapToGrid/>
              <w:spacing w:line="360" w:lineRule="auto"/>
              <w:ind w:left="0"/>
              <w:jc w:val="both"/>
              <w:textAlignment w:val="auto"/>
              <w:rPr>
                <w:rFonts w:hint="default" w:ascii="宋体" w:hAnsi="宋体" w:eastAsia="宋体" w:cs="宋体"/>
                <w:b/>
                <w:bCs/>
                <w:sz w:val="24"/>
                <w:szCs w:val="24"/>
                <w:lang w:val="en-US" w:eastAsia="zh-CN"/>
              </w:rPr>
            </w:pPr>
            <w:r>
              <w:rPr>
                <w:rFonts w:hint="eastAsia" w:ascii="宋体" w:hAnsi="宋体" w:eastAsia="宋体" w:cs="宋体"/>
                <w:b/>
                <w:bCs/>
                <w:sz w:val="24"/>
                <w:szCs w:val="24"/>
                <w:lang w:val="en-US" w:eastAsia="zh-CN"/>
              </w:rPr>
              <w:t>出线低压塑壳断路器</w:t>
            </w:r>
          </w:p>
        </w:tc>
        <w:tc>
          <w:tcPr>
            <w:tcW w:w="4501" w:type="dxa"/>
            <w:tcMar>
              <w:top w:w="60" w:type="dxa"/>
              <w:left w:w="120" w:type="dxa"/>
              <w:bottom w:w="30" w:type="dxa"/>
              <w:right w:w="120" w:type="dxa"/>
            </w:tcMar>
          </w:tcPr>
          <w:p w14:paraId="41F9C907">
            <w:pPr>
              <w:keepNext w:val="0"/>
              <w:keepLines w:val="0"/>
              <w:pageBreakBefore w:val="0"/>
              <w:kinsoku/>
              <w:wordWrap/>
              <w:overflowPunct/>
              <w:topLinePunct w:val="0"/>
              <w:autoSpaceDE/>
              <w:autoSpaceDN/>
              <w:bidi w:val="0"/>
              <w:adjustRightInd/>
              <w:snapToGrid/>
              <w:spacing w:line="360" w:lineRule="auto"/>
              <w:ind w:left="0"/>
              <w:jc w:val="both"/>
              <w:textAlignment w:val="auto"/>
              <w:rPr>
                <w:rFonts w:hint="eastAsia" w:ascii="宋体" w:hAnsi="宋体" w:eastAsia="宋体" w:cs="宋体"/>
                <w:b/>
                <w:bCs/>
                <w:sz w:val="24"/>
                <w:szCs w:val="24"/>
                <w:lang w:val="en-US" w:eastAsia="zh-CN"/>
              </w:rPr>
            </w:pPr>
            <w:r>
              <w:rPr>
                <w:rFonts w:hint="eastAsia" w:ascii="宋体" w:hAnsi="宋体" w:eastAsia="宋体" w:cs="宋体"/>
                <w:b/>
                <w:bCs/>
                <w:sz w:val="24"/>
                <w:szCs w:val="24"/>
                <w:lang w:val="en-US" w:eastAsia="zh-CN"/>
              </w:rPr>
              <w:t>三个400A，一个250A，两个100A（630kVA)</w:t>
            </w:r>
          </w:p>
          <w:p w14:paraId="7757D16A">
            <w:pPr>
              <w:keepNext w:val="0"/>
              <w:keepLines w:val="0"/>
              <w:pageBreakBefore w:val="0"/>
              <w:kinsoku/>
              <w:wordWrap/>
              <w:overflowPunct/>
              <w:topLinePunct w:val="0"/>
              <w:autoSpaceDE/>
              <w:autoSpaceDN/>
              <w:bidi w:val="0"/>
              <w:adjustRightInd/>
              <w:snapToGrid/>
              <w:spacing w:line="360" w:lineRule="auto"/>
              <w:ind w:left="0"/>
              <w:jc w:val="both"/>
              <w:textAlignment w:val="auto"/>
              <w:rPr>
                <w:rFonts w:hint="default" w:ascii="宋体" w:hAnsi="宋体" w:eastAsia="宋体" w:cs="宋体"/>
                <w:b/>
                <w:bCs/>
                <w:sz w:val="24"/>
                <w:szCs w:val="24"/>
                <w:lang w:val="en-US" w:eastAsia="zh-CN"/>
              </w:rPr>
            </w:pPr>
            <w:r>
              <w:rPr>
                <w:rFonts w:hint="eastAsia" w:ascii="宋体" w:hAnsi="宋体" w:eastAsia="宋体" w:cs="宋体"/>
                <w:b/>
                <w:bCs/>
                <w:sz w:val="24"/>
                <w:szCs w:val="24"/>
                <w:lang w:val="en-US" w:eastAsia="zh-CN"/>
              </w:rPr>
              <w:t>三个400A，一个250A，两个160A（500kVA)</w:t>
            </w:r>
          </w:p>
        </w:tc>
      </w:tr>
      <w:tr w14:paraId="1F69AB50">
        <w:tblPrEx>
          <w:tblBorders>
            <w:top w:val="single" w:color="DEE0E3" w:sz="0" w:space="0"/>
            <w:left w:val="single" w:color="DEE0E3" w:sz="0" w:space="0"/>
            <w:bottom w:val="single" w:color="DEE0E3" w:sz="0" w:space="0"/>
            <w:right w:val="single" w:color="DEE0E3" w:sz="0" w:space="0"/>
            <w:insideH w:val="single" w:color="DEE0E3" w:sz="0" w:space="0"/>
            <w:insideV w:val="single" w:color="DEE0E3" w:sz="0" w:space="0"/>
          </w:tblBorders>
          <w:tblCellMar>
            <w:top w:w="0" w:type="dxa"/>
            <w:left w:w="10" w:type="dxa"/>
            <w:bottom w:w="0" w:type="dxa"/>
            <w:right w:w="10" w:type="dxa"/>
          </w:tblCellMar>
        </w:tblPrEx>
        <w:tc>
          <w:tcPr>
            <w:tcW w:w="1166" w:type="dxa"/>
            <w:tcMar>
              <w:top w:w="60" w:type="dxa"/>
              <w:left w:w="120" w:type="dxa"/>
              <w:bottom w:w="30" w:type="dxa"/>
              <w:right w:w="120" w:type="dxa"/>
            </w:tcMar>
          </w:tcPr>
          <w:p w14:paraId="0DC0F3AE">
            <w:pPr>
              <w:keepNext w:val="0"/>
              <w:keepLines w:val="0"/>
              <w:pageBreakBefore w:val="0"/>
              <w:kinsoku/>
              <w:wordWrap/>
              <w:overflowPunct/>
              <w:topLinePunct w:val="0"/>
              <w:autoSpaceDE/>
              <w:autoSpaceDN/>
              <w:bidi w:val="0"/>
              <w:adjustRightInd/>
              <w:snapToGrid/>
              <w:spacing w:line="360" w:lineRule="auto"/>
              <w:ind w:left="0"/>
              <w:jc w:val="both"/>
              <w:textAlignment w:val="auto"/>
              <w:rPr>
                <w:rFonts w:hint="default" w:ascii="宋体" w:hAnsi="宋体" w:eastAsia="宋体" w:cs="宋体"/>
                <w:sz w:val="24"/>
                <w:szCs w:val="24"/>
                <w:lang w:val="en-US" w:eastAsia="zh-CN"/>
              </w:rPr>
            </w:pPr>
            <w:r>
              <w:rPr>
                <w:rFonts w:hint="eastAsia" w:ascii="宋体" w:hAnsi="宋体" w:eastAsia="宋体" w:cs="宋体"/>
                <w:sz w:val="24"/>
                <w:szCs w:val="24"/>
                <w:lang w:val="en-US" w:eastAsia="zh-CN"/>
              </w:rPr>
              <w:t>15</w:t>
            </w:r>
          </w:p>
        </w:tc>
        <w:tc>
          <w:tcPr>
            <w:tcW w:w="2613" w:type="dxa"/>
            <w:tcMar>
              <w:top w:w="60" w:type="dxa"/>
              <w:left w:w="120" w:type="dxa"/>
              <w:bottom w:w="30" w:type="dxa"/>
              <w:right w:w="120" w:type="dxa"/>
            </w:tcMar>
          </w:tcPr>
          <w:p w14:paraId="00AC16EB">
            <w:pPr>
              <w:keepNext w:val="0"/>
              <w:keepLines w:val="0"/>
              <w:pageBreakBefore w:val="0"/>
              <w:kinsoku/>
              <w:wordWrap/>
              <w:overflowPunct/>
              <w:topLinePunct w:val="0"/>
              <w:autoSpaceDE/>
              <w:autoSpaceDN/>
              <w:bidi w:val="0"/>
              <w:adjustRightInd/>
              <w:snapToGrid/>
              <w:spacing w:line="360" w:lineRule="auto"/>
              <w:ind w:left="0"/>
              <w:jc w:val="both"/>
              <w:textAlignment w:val="auto"/>
              <w:rPr>
                <w:rFonts w:hint="default" w:ascii="宋体" w:hAnsi="宋体" w:eastAsia="宋体" w:cs="宋体"/>
                <w:b/>
                <w:bCs/>
                <w:sz w:val="24"/>
                <w:szCs w:val="24"/>
                <w:lang w:val="en-US" w:eastAsia="zh-CN"/>
              </w:rPr>
            </w:pPr>
            <w:r>
              <w:rPr>
                <w:rFonts w:hint="eastAsia" w:ascii="宋体" w:hAnsi="宋体" w:eastAsia="宋体" w:cs="宋体"/>
                <w:b/>
                <w:bCs/>
                <w:sz w:val="24"/>
                <w:szCs w:val="24"/>
                <w:lang w:val="en-US" w:eastAsia="zh-CN"/>
              </w:rPr>
              <w:t>低压联络回路（500kVA）</w:t>
            </w:r>
          </w:p>
        </w:tc>
        <w:tc>
          <w:tcPr>
            <w:tcW w:w="4501" w:type="dxa"/>
            <w:tcMar>
              <w:top w:w="60" w:type="dxa"/>
              <w:left w:w="120" w:type="dxa"/>
              <w:bottom w:w="30" w:type="dxa"/>
              <w:right w:w="120" w:type="dxa"/>
            </w:tcMar>
          </w:tcPr>
          <w:p w14:paraId="781BF1E6">
            <w:pPr>
              <w:keepNext w:val="0"/>
              <w:keepLines w:val="0"/>
              <w:pageBreakBefore w:val="0"/>
              <w:kinsoku/>
              <w:wordWrap/>
              <w:overflowPunct/>
              <w:topLinePunct w:val="0"/>
              <w:autoSpaceDE/>
              <w:autoSpaceDN/>
              <w:bidi w:val="0"/>
              <w:adjustRightInd/>
              <w:snapToGrid/>
              <w:spacing w:line="360" w:lineRule="auto"/>
              <w:ind w:left="0"/>
              <w:jc w:val="both"/>
              <w:textAlignment w:val="auto"/>
              <w:rPr>
                <w:rFonts w:hint="default" w:ascii="宋体" w:hAnsi="宋体" w:eastAsia="宋体" w:cs="宋体"/>
                <w:b/>
                <w:bCs/>
                <w:sz w:val="24"/>
                <w:szCs w:val="24"/>
                <w:lang w:val="en-US" w:eastAsia="zh-CN"/>
              </w:rPr>
            </w:pPr>
            <w:r>
              <w:rPr>
                <w:rFonts w:hint="eastAsia" w:ascii="宋体" w:hAnsi="宋体" w:eastAsia="宋体" w:cs="宋体"/>
                <w:b/>
                <w:bCs/>
                <w:sz w:val="24"/>
                <w:szCs w:val="24"/>
                <w:lang w:val="en-US" w:eastAsia="zh-CN"/>
              </w:rPr>
              <w:t>隔离刀400A，塑壳断路器400A及相应的连接母排（仅限500kVA油变，放在油变侧室）</w:t>
            </w:r>
          </w:p>
        </w:tc>
      </w:tr>
    </w:tbl>
    <w:p w14:paraId="1B641B71">
      <w:pPr>
        <w:keepNext w:val="0"/>
        <w:keepLines w:val="0"/>
        <w:pageBreakBefore w:val="0"/>
        <w:kinsoku/>
        <w:wordWrap/>
        <w:overflowPunct/>
        <w:topLinePunct w:val="0"/>
        <w:autoSpaceDE/>
        <w:autoSpaceDN/>
        <w:bidi w:val="0"/>
        <w:adjustRightInd/>
        <w:snapToGrid/>
        <w:spacing w:line="360" w:lineRule="auto"/>
        <w:ind w:left="0"/>
        <w:jc w:val="both"/>
        <w:textAlignment w:val="auto"/>
        <w:outlineLvl w:val="1"/>
        <w:rPr>
          <w:rFonts w:hint="eastAsia" w:ascii="宋体" w:hAnsi="宋体" w:eastAsia="宋体" w:cs="宋体"/>
          <w:sz w:val="24"/>
          <w:szCs w:val="24"/>
        </w:rPr>
      </w:pPr>
      <w:r>
        <w:rPr>
          <w:rFonts w:hint="eastAsia" w:ascii="宋体" w:hAnsi="宋体" w:eastAsia="宋体" w:cs="宋体"/>
          <w:b/>
          <w:sz w:val="24"/>
          <w:szCs w:val="24"/>
        </w:rPr>
        <w:t>3 变压器本体技术要求</w:t>
      </w:r>
      <w:bookmarkEnd w:id="4"/>
    </w:p>
    <w:p w14:paraId="503B5C21">
      <w:pPr>
        <w:keepNext w:val="0"/>
        <w:keepLines w:val="0"/>
        <w:pageBreakBefore w:val="0"/>
        <w:kinsoku/>
        <w:wordWrap/>
        <w:overflowPunct/>
        <w:topLinePunct w:val="0"/>
        <w:autoSpaceDE/>
        <w:autoSpaceDN/>
        <w:bidi w:val="0"/>
        <w:adjustRightInd/>
        <w:snapToGrid/>
        <w:spacing w:line="360" w:lineRule="auto"/>
        <w:ind w:left="0"/>
        <w:jc w:val="both"/>
        <w:textAlignment w:val="auto"/>
        <w:rPr>
          <w:rFonts w:hint="eastAsia" w:ascii="宋体" w:hAnsi="宋体" w:eastAsia="宋体" w:cs="宋体"/>
          <w:sz w:val="24"/>
          <w:szCs w:val="24"/>
        </w:rPr>
      </w:pPr>
      <w:r>
        <w:rPr>
          <w:rFonts w:hint="eastAsia" w:ascii="宋体" w:hAnsi="宋体" w:eastAsia="宋体" w:cs="宋体"/>
          <w:sz w:val="24"/>
          <w:szCs w:val="24"/>
        </w:rPr>
        <w:t>3.1 变压器采用</w:t>
      </w:r>
      <w:r>
        <w:rPr>
          <w:rFonts w:hint="eastAsia" w:ascii="宋体" w:hAnsi="宋体" w:eastAsia="宋体" w:cs="宋体"/>
          <w:b/>
          <w:sz w:val="24"/>
          <w:szCs w:val="24"/>
        </w:rPr>
        <w:t>S13及以上高效节能全密封无油枕油浸式结构</w:t>
      </w:r>
      <w:r>
        <w:rPr>
          <w:rFonts w:hint="eastAsia" w:ascii="宋体" w:hAnsi="宋体" w:eastAsia="宋体" w:cs="宋体"/>
          <w:sz w:val="24"/>
          <w:szCs w:val="24"/>
        </w:rPr>
        <w:t>，采用高导磁冷轧取向硅钢片，空载损耗、负载损耗符合国标能效标准，节能低噪。</w:t>
      </w:r>
    </w:p>
    <w:p w14:paraId="2176EE6B">
      <w:pPr>
        <w:keepNext w:val="0"/>
        <w:keepLines w:val="0"/>
        <w:pageBreakBefore w:val="0"/>
        <w:kinsoku/>
        <w:wordWrap/>
        <w:overflowPunct/>
        <w:topLinePunct w:val="0"/>
        <w:autoSpaceDE/>
        <w:autoSpaceDN/>
        <w:bidi w:val="0"/>
        <w:adjustRightInd/>
        <w:snapToGrid/>
        <w:spacing w:line="360" w:lineRule="auto"/>
        <w:ind w:left="0"/>
        <w:jc w:val="both"/>
        <w:textAlignment w:val="auto"/>
        <w:rPr>
          <w:rFonts w:hint="eastAsia" w:ascii="宋体" w:hAnsi="宋体" w:eastAsia="宋体" w:cs="宋体"/>
          <w:sz w:val="24"/>
          <w:szCs w:val="24"/>
        </w:rPr>
      </w:pPr>
      <w:r>
        <w:rPr>
          <w:rFonts w:hint="eastAsia" w:ascii="宋体" w:hAnsi="宋体" w:eastAsia="宋体" w:cs="宋体"/>
          <w:sz w:val="24"/>
          <w:szCs w:val="24"/>
        </w:rPr>
        <w:t>3.2 油箱整体密封焊接，无虚焊、漏焊、沙眼缺陷，整机无渗漏油隐患，全密封结构免日常维护。</w:t>
      </w:r>
    </w:p>
    <w:p w14:paraId="470983B3">
      <w:pPr>
        <w:keepNext w:val="0"/>
        <w:keepLines w:val="0"/>
        <w:pageBreakBefore w:val="0"/>
        <w:kinsoku/>
        <w:wordWrap/>
        <w:overflowPunct/>
        <w:topLinePunct w:val="0"/>
        <w:autoSpaceDE/>
        <w:autoSpaceDN/>
        <w:bidi w:val="0"/>
        <w:adjustRightInd/>
        <w:snapToGrid/>
        <w:spacing w:line="360" w:lineRule="auto"/>
        <w:ind w:left="0"/>
        <w:jc w:val="both"/>
        <w:textAlignment w:val="auto"/>
        <w:rPr>
          <w:rFonts w:hint="eastAsia" w:ascii="宋体" w:hAnsi="宋体" w:eastAsia="宋体" w:cs="宋体"/>
          <w:sz w:val="24"/>
          <w:szCs w:val="24"/>
        </w:rPr>
      </w:pPr>
      <w:r>
        <w:rPr>
          <w:rFonts w:hint="eastAsia" w:ascii="宋体" w:hAnsi="宋体" w:eastAsia="宋体" w:cs="宋体"/>
          <w:sz w:val="24"/>
          <w:szCs w:val="24"/>
        </w:rPr>
        <w:t>3.3 变压器油采用25#专用变压器油，出厂提供油质化验报告，油箱配置专用取样阀、放油阀。</w:t>
      </w:r>
    </w:p>
    <w:p w14:paraId="729333D5">
      <w:pPr>
        <w:keepNext w:val="0"/>
        <w:keepLines w:val="0"/>
        <w:pageBreakBefore w:val="0"/>
        <w:kinsoku/>
        <w:wordWrap/>
        <w:overflowPunct/>
        <w:topLinePunct w:val="0"/>
        <w:autoSpaceDE/>
        <w:autoSpaceDN/>
        <w:bidi w:val="0"/>
        <w:adjustRightInd/>
        <w:snapToGrid/>
        <w:spacing w:line="360" w:lineRule="auto"/>
        <w:ind w:left="0"/>
        <w:jc w:val="both"/>
        <w:textAlignment w:val="auto"/>
        <w:rPr>
          <w:rFonts w:hint="eastAsia" w:ascii="宋体" w:hAnsi="宋体" w:eastAsia="宋体" w:cs="宋体"/>
          <w:sz w:val="24"/>
          <w:szCs w:val="24"/>
        </w:rPr>
      </w:pPr>
      <w:r>
        <w:rPr>
          <w:rFonts w:hint="eastAsia" w:ascii="宋体" w:hAnsi="宋体" w:eastAsia="宋体" w:cs="宋体"/>
          <w:sz w:val="24"/>
          <w:szCs w:val="24"/>
        </w:rPr>
        <w:t>3.4 标配智能监测附件：带高低油位报警接点油位计、防雨型压力释放阀（带动作报警接点）、</w:t>
      </w:r>
      <w:r>
        <w:rPr>
          <w:rFonts w:hint="eastAsia" w:ascii="宋体" w:hAnsi="宋体" w:cs="宋体"/>
          <w:sz w:val="24"/>
          <w:szCs w:val="24"/>
          <w:lang w:val="en-US" w:eastAsia="zh-CN"/>
        </w:rPr>
        <w:t>油温油位</w:t>
      </w:r>
      <w:bookmarkStart w:id="10" w:name="_GoBack"/>
      <w:bookmarkEnd w:id="10"/>
      <w:r>
        <w:rPr>
          <w:rFonts w:hint="eastAsia" w:ascii="宋体" w:hAnsi="宋体" w:eastAsia="宋体" w:cs="宋体"/>
          <w:sz w:val="24"/>
          <w:szCs w:val="24"/>
        </w:rPr>
        <w:t>就地</w:t>
      </w:r>
      <w:r>
        <w:rPr>
          <w:rFonts w:hint="eastAsia" w:ascii="宋体" w:hAnsi="宋体" w:cs="宋体"/>
          <w:sz w:val="24"/>
          <w:szCs w:val="24"/>
          <w:lang w:val="en-US" w:eastAsia="zh-CN"/>
        </w:rPr>
        <w:t>显示</w:t>
      </w:r>
      <w:r>
        <w:rPr>
          <w:rFonts w:hint="eastAsia" w:ascii="宋体" w:hAnsi="宋体" w:eastAsia="宋体" w:cs="宋体"/>
          <w:sz w:val="24"/>
          <w:szCs w:val="24"/>
          <w:lang w:val="en-US" w:eastAsia="zh-CN"/>
        </w:rPr>
        <w:t>以及</w:t>
      </w:r>
      <w:r>
        <w:rPr>
          <w:rFonts w:hint="eastAsia" w:ascii="宋体" w:hAnsi="宋体" w:eastAsia="宋体" w:cs="宋体"/>
          <w:sz w:val="24"/>
          <w:szCs w:val="24"/>
        </w:rPr>
        <w:t>油温传感器（具备高温报警、超温跳闸无源接点输出）。</w:t>
      </w:r>
    </w:p>
    <w:p w14:paraId="2D96DDAA">
      <w:pPr>
        <w:keepNext w:val="0"/>
        <w:keepLines w:val="0"/>
        <w:pageBreakBefore w:val="0"/>
        <w:kinsoku/>
        <w:wordWrap/>
        <w:overflowPunct/>
        <w:topLinePunct w:val="0"/>
        <w:autoSpaceDE/>
        <w:autoSpaceDN/>
        <w:bidi w:val="0"/>
        <w:adjustRightInd/>
        <w:snapToGrid/>
        <w:spacing w:line="360" w:lineRule="auto"/>
        <w:ind w:left="0"/>
        <w:jc w:val="both"/>
        <w:textAlignment w:val="auto"/>
        <w:rPr>
          <w:rFonts w:hint="eastAsia" w:ascii="宋体" w:hAnsi="宋体" w:eastAsia="宋体" w:cs="宋体"/>
          <w:sz w:val="24"/>
          <w:szCs w:val="24"/>
        </w:rPr>
      </w:pPr>
      <w:r>
        <w:rPr>
          <w:rFonts w:hint="eastAsia" w:ascii="宋体" w:hAnsi="宋体" w:eastAsia="宋体" w:cs="宋体"/>
          <w:sz w:val="24"/>
          <w:szCs w:val="24"/>
        </w:rPr>
        <w:t>3.5 铁芯、夹件、油箱外壳独立可靠接地，接地结构规范牢固。</w:t>
      </w:r>
    </w:p>
    <w:p w14:paraId="65054033">
      <w:pPr>
        <w:keepNext w:val="0"/>
        <w:keepLines w:val="0"/>
        <w:pageBreakBefore w:val="0"/>
        <w:kinsoku/>
        <w:wordWrap/>
        <w:overflowPunct/>
        <w:topLinePunct w:val="0"/>
        <w:autoSpaceDE/>
        <w:autoSpaceDN/>
        <w:bidi w:val="0"/>
        <w:adjustRightInd/>
        <w:snapToGrid/>
        <w:spacing w:line="360" w:lineRule="auto"/>
        <w:ind w:left="0"/>
        <w:jc w:val="both"/>
        <w:textAlignment w:val="auto"/>
        <w:rPr>
          <w:rFonts w:hint="eastAsia" w:ascii="宋体" w:hAnsi="宋体" w:eastAsia="宋体" w:cs="宋体"/>
          <w:sz w:val="24"/>
          <w:szCs w:val="24"/>
        </w:rPr>
      </w:pPr>
      <w:r>
        <w:rPr>
          <w:rFonts w:hint="eastAsia" w:ascii="宋体" w:hAnsi="宋体" w:eastAsia="宋体" w:cs="宋体"/>
          <w:sz w:val="24"/>
          <w:szCs w:val="24"/>
        </w:rPr>
        <w:t>3.6 温升限值：绕组平均温升≤65K，顶层油温升≤55K，可长期1.15倍额定负荷稳定运行。</w:t>
      </w:r>
    </w:p>
    <w:p w14:paraId="68223079">
      <w:pPr>
        <w:keepNext w:val="0"/>
        <w:keepLines w:val="0"/>
        <w:pageBreakBefore w:val="0"/>
        <w:kinsoku/>
        <w:wordWrap/>
        <w:overflowPunct/>
        <w:topLinePunct w:val="0"/>
        <w:autoSpaceDE/>
        <w:autoSpaceDN/>
        <w:bidi w:val="0"/>
        <w:adjustRightInd/>
        <w:snapToGrid/>
        <w:spacing w:line="360" w:lineRule="auto"/>
        <w:ind w:left="0"/>
        <w:jc w:val="both"/>
        <w:textAlignment w:val="auto"/>
        <w:rPr>
          <w:rFonts w:hint="eastAsia" w:ascii="宋体" w:hAnsi="宋体" w:eastAsia="宋体" w:cs="宋体"/>
          <w:sz w:val="24"/>
          <w:szCs w:val="24"/>
        </w:rPr>
      </w:pPr>
      <w:r>
        <w:rPr>
          <w:rFonts w:hint="eastAsia" w:ascii="宋体" w:hAnsi="宋体" w:eastAsia="宋体" w:cs="宋体"/>
          <w:sz w:val="24"/>
          <w:szCs w:val="24"/>
        </w:rPr>
        <w:t>3.7 所有密封件采用耐老化耐油专用胶垫，带限位防护结构，杜绝长期运行挤压变形、渗油漏油。</w:t>
      </w:r>
    </w:p>
    <w:p w14:paraId="5DC5F59A">
      <w:pPr>
        <w:keepNext w:val="0"/>
        <w:keepLines w:val="0"/>
        <w:pageBreakBefore w:val="0"/>
        <w:kinsoku/>
        <w:wordWrap/>
        <w:overflowPunct/>
        <w:topLinePunct w:val="0"/>
        <w:autoSpaceDE/>
        <w:autoSpaceDN/>
        <w:bidi w:val="0"/>
        <w:adjustRightInd/>
        <w:snapToGrid/>
        <w:spacing w:line="360" w:lineRule="auto"/>
        <w:ind w:left="0"/>
        <w:jc w:val="both"/>
        <w:textAlignment w:val="auto"/>
        <w:rPr>
          <w:rFonts w:hint="default" w:ascii="宋体" w:hAnsi="宋体" w:eastAsia="宋体" w:cs="宋体"/>
          <w:sz w:val="24"/>
          <w:szCs w:val="24"/>
          <w:lang w:val="en-US"/>
        </w:rPr>
      </w:pPr>
      <w:r>
        <w:rPr>
          <w:rFonts w:hint="eastAsia" w:ascii="宋体" w:hAnsi="宋体" w:eastAsia="宋体" w:cs="宋体"/>
          <w:sz w:val="24"/>
          <w:szCs w:val="24"/>
          <w:lang w:val="en-US" w:eastAsia="zh-CN"/>
        </w:rPr>
        <w:t>3.8 变压器铁芯选用进口优质冷轧晶粒取向硅钢片、步进叠片工艺。变压器铁芯和金属件均应可靠接地，并有明显的接地标志，铁芯和金属件均有防锈保护层。</w:t>
      </w:r>
    </w:p>
    <w:p w14:paraId="5154D6C5">
      <w:pPr>
        <w:keepNext w:val="0"/>
        <w:keepLines w:val="0"/>
        <w:pageBreakBefore w:val="0"/>
        <w:kinsoku/>
        <w:wordWrap/>
        <w:overflowPunct/>
        <w:topLinePunct w:val="0"/>
        <w:autoSpaceDE/>
        <w:autoSpaceDN/>
        <w:bidi w:val="0"/>
        <w:adjustRightInd/>
        <w:snapToGrid/>
        <w:spacing w:line="360" w:lineRule="auto"/>
        <w:ind w:left="0"/>
        <w:jc w:val="both"/>
        <w:textAlignment w:val="auto"/>
        <w:outlineLvl w:val="1"/>
        <w:rPr>
          <w:rFonts w:hint="eastAsia" w:ascii="宋体" w:hAnsi="宋体" w:eastAsia="宋体" w:cs="宋体"/>
          <w:sz w:val="24"/>
          <w:szCs w:val="24"/>
        </w:rPr>
      </w:pPr>
      <w:bookmarkStart w:id="5" w:name="heading_7"/>
      <w:r>
        <w:rPr>
          <w:rFonts w:hint="eastAsia" w:ascii="宋体" w:hAnsi="宋体" w:eastAsia="宋体" w:cs="宋体"/>
          <w:b/>
          <w:sz w:val="24"/>
          <w:szCs w:val="24"/>
        </w:rPr>
        <w:t>4 高压系统技术要求</w:t>
      </w:r>
      <w:bookmarkEnd w:id="5"/>
    </w:p>
    <w:p w14:paraId="61E7B036">
      <w:pPr>
        <w:keepNext w:val="0"/>
        <w:keepLines w:val="0"/>
        <w:pageBreakBefore w:val="0"/>
        <w:kinsoku/>
        <w:wordWrap/>
        <w:overflowPunct/>
        <w:topLinePunct w:val="0"/>
        <w:autoSpaceDE/>
        <w:autoSpaceDN/>
        <w:bidi w:val="0"/>
        <w:adjustRightInd/>
        <w:snapToGrid/>
        <w:spacing w:line="360" w:lineRule="auto"/>
        <w:ind w:left="0"/>
        <w:jc w:val="both"/>
        <w:textAlignment w:val="auto"/>
        <w:rPr>
          <w:rFonts w:hint="eastAsia" w:ascii="宋体" w:hAnsi="宋体" w:eastAsia="宋体" w:cs="宋体"/>
          <w:sz w:val="24"/>
          <w:szCs w:val="24"/>
        </w:rPr>
      </w:pPr>
      <w:r>
        <w:rPr>
          <w:rFonts w:hint="eastAsia" w:ascii="宋体" w:hAnsi="宋体" w:eastAsia="宋体" w:cs="宋体"/>
          <w:sz w:val="24"/>
          <w:szCs w:val="24"/>
        </w:rPr>
        <w:t>4.1 高压开关：配置油浸式三工位负荷开关，额定电流630A，手动弹簧操作机构，分合闸动作可靠、无拒动、误动，支持环网、终端运行切换。</w:t>
      </w:r>
    </w:p>
    <w:p w14:paraId="550AC7AA">
      <w:pPr>
        <w:keepNext w:val="0"/>
        <w:keepLines w:val="0"/>
        <w:pageBreakBefore w:val="0"/>
        <w:kinsoku/>
        <w:wordWrap/>
        <w:overflowPunct/>
        <w:topLinePunct w:val="0"/>
        <w:autoSpaceDE/>
        <w:autoSpaceDN/>
        <w:bidi w:val="0"/>
        <w:adjustRightInd/>
        <w:snapToGrid/>
        <w:spacing w:line="360" w:lineRule="auto"/>
        <w:ind w:left="0"/>
        <w:jc w:val="both"/>
        <w:textAlignment w:val="auto"/>
        <w:rPr>
          <w:rFonts w:hint="eastAsia" w:ascii="宋体" w:hAnsi="宋体" w:eastAsia="宋体" w:cs="宋体"/>
          <w:sz w:val="24"/>
          <w:szCs w:val="24"/>
        </w:rPr>
      </w:pPr>
      <w:r>
        <w:rPr>
          <w:rFonts w:hint="eastAsia" w:ascii="宋体" w:hAnsi="宋体" w:eastAsia="宋体" w:cs="宋体"/>
          <w:sz w:val="24"/>
          <w:szCs w:val="24"/>
        </w:rPr>
        <w:t>4.2 保护配置：采用美式标准</w:t>
      </w:r>
      <w:r>
        <w:rPr>
          <w:rFonts w:hint="eastAsia" w:ascii="宋体" w:hAnsi="宋体" w:eastAsia="宋体" w:cs="宋体"/>
          <w:b/>
          <w:sz w:val="24"/>
          <w:szCs w:val="24"/>
        </w:rPr>
        <w:t>双敏插入式熔断器+后备限流熔断器</w:t>
      </w:r>
      <w:r>
        <w:rPr>
          <w:rFonts w:hint="eastAsia" w:ascii="宋体" w:hAnsi="宋体" w:eastAsia="宋体" w:cs="宋体"/>
          <w:sz w:val="24"/>
          <w:szCs w:val="24"/>
        </w:rPr>
        <w:t>双重保护，具备过流、过载、温度双重保护，全覆盖变压器内部故障保护，熔丝按变压器额定容量匹配供货。</w:t>
      </w:r>
    </w:p>
    <w:p w14:paraId="33B4C084">
      <w:pPr>
        <w:keepNext w:val="0"/>
        <w:keepLines w:val="0"/>
        <w:pageBreakBefore w:val="0"/>
        <w:kinsoku/>
        <w:wordWrap/>
        <w:overflowPunct/>
        <w:topLinePunct w:val="0"/>
        <w:autoSpaceDE/>
        <w:autoSpaceDN/>
        <w:bidi w:val="0"/>
        <w:adjustRightInd/>
        <w:snapToGrid/>
        <w:spacing w:line="360" w:lineRule="auto"/>
        <w:ind w:left="0"/>
        <w:jc w:val="both"/>
        <w:textAlignment w:val="auto"/>
        <w:rPr>
          <w:rFonts w:hint="eastAsia" w:ascii="宋体" w:hAnsi="宋体" w:eastAsia="宋体" w:cs="宋体"/>
          <w:sz w:val="24"/>
          <w:szCs w:val="24"/>
        </w:rPr>
      </w:pPr>
      <w:r>
        <w:rPr>
          <w:rFonts w:hint="eastAsia" w:ascii="宋体" w:hAnsi="宋体" w:eastAsia="宋体" w:cs="宋体"/>
          <w:sz w:val="24"/>
          <w:szCs w:val="24"/>
        </w:rPr>
        <w:t>4.3 高压侧内置油浸式氧化锌避雷器（17/45kV），有效抑制雷电及操作过电压。</w:t>
      </w:r>
    </w:p>
    <w:p w14:paraId="1BC9B334">
      <w:pPr>
        <w:keepNext w:val="0"/>
        <w:keepLines w:val="0"/>
        <w:pageBreakBefore w:val="0"/>
        <w:kinsoku/>
        <w:wordWrap/>
        <w:overflowPunct/>
        <w:topLinePunct w:val="0"/>
        <w:autoSpaceDE/>
        <w:autoSpaceDN/>
        <w:bidi w:val="0"/>
        <w:adjustRightInd/>
        <w:snapToGrid/>
        <w:spacing w:line="360" w:lineRule="auto"/>
        <w:ind w:left="0"/>
        <w:jc w:val="both"/>
        <w:textAlignment w:val="auto"/>
        <w:rPr>
          <w:rFonts w:hint="eastAsia" w:ascii="宋体" w:hAnsi="宋体" w:eastAsia="宋体" w:cs="宋体"/>
          <w:sz w:val="24"/>
          <w:szCs w:val="24"/>
        </w:rPr>
      </w:pPr>
      <w:r>
        <w:rPr>
          <w:rFonts w:hint="eastAsia" w:ascii="宋体" w:hAnsi="宋体" w:eastAsia="宋体" w:cs="宋体"/>
          <w:sz w:val="24"/>
          <w:szCs w:val="24"/>
        </w:rPr>
        <w:t>4.4 配置高压带电显示装置，高压电缆接口标配全绝缘全屏蔽可触摸肘型接头，绝缘安全、防触电。</w:t>
      </w:r>
    </w:p>
    <w:p w14:paraId="64F22351">
      <w:pPr>
        <w:keepNext w:val="0"/>
        <w:keepLines w:val="0"/>
        <w:pageBreakBefore w:val="0"/>
        <w:kinsoku/>
        <w:wordWrap/>
        <w:overflowPunct/>
        <w:topLinePunct w:val="0"/>
        <w:autoSpaceDE/>
        <w:autoSpaceDN/>
        <w:bidi w:val="0"/>
        <w:adjustRightInd/>
        <w:snapToGrid/>
        <w:spacing w:line="360" w:lineRule="auto"/>
        <w:ind w:left="0"/>
        <w:jc w:val="both"/>
        <w:textAlignment w:val="auto"/>
        <w:rPr>
          <w:rFonts w:hint="eastAsia" w:ascii="宋体" w:hAnsi="宋体" w:eastAsia="宋体" w:cs="宋体"/>
          <w:sz w:val="24"/>
          <w:szCs w:val="24"/>
        </w:rPr>
      </w:pPr>
      <w:r>
        <w:rPr>
          <w:rFonts w:hint="eastAsia" w:ascii="宋体" w:hAnsi="宋体" w:eastAsia="宋体" w:cs="宋体"/>
          <w:sz w:val="24"/>
          <w:szCs w:val="24"/>
        </w:rPr>
        <w:t>4.5 高低压舱体钢板完全隔离，独立隔室布置，杜绝高低压窜压、串热隐患</w:t>
      </w:r>
      <w:r>
        <w:rPr>
          <w:rFonts w:hint="eastAsia" w:ascii="宋体" w:hAnsi="宋体" w:eastAsia="宋体" w:cs="宋体"/>
          <w:sz w:val="24"/>
          <w:szCs w:val="24"/>
          <w:lang w:eastAsia="zh-CN"/>
        </w:rPr>
        <w:t>，</w:t>
      </w:r>
    </w:p>
    <w:p w14:paraId="6FD24D7B">
      <w:pPr>
        <w:keepNext w:val="0"/>
        <w:keepLines w:val="0"/>
        <w:pageBreakBefore w:val="0"/>
        <w:kinsoku/>
        <w:wordWrap/>
        <w:overflowPunct/>
        <w:topLinePunct w:val="0"/>
        <w:autoSpaceDE/>
        <w:autoSpaceDN/>
        <w:bidi w:val="0"/>
        <w:adjustRightInd/>
        <w:snapToGrid/>
        <w:spacing w:line="360" w:lineRule="auto"/>
        <w:ind w:left="0"/>
        <w:jc w:val="both"/>
        <w:textAlignment w:val="auto"/>
        <w:outlineLvl w:val="1"/>
        <w:rPr>
          <w:rFonts w:hint="eastAsia" w:ascii="宋体" w:hAnsi="宋体" w:eastAsia="宋体" w:cs="宋体"/>
          <w:sz w:val="24"/>
          <w:szCs w:val="24"/>
        </w:rPr>
      </w:pPr>
      <w:bookmarkStart w:id="6" w:name="heading_8"/>
      <w:r>
        <w:rPr>
          <w:rFonts w:hint="eastAsia" w:ascii="宋体" w:hAnsi="宋体" w:eastAsia="宋体" w:cs="宋体"/>
          <w:b/>
          <w:sz w:val="24"/>
          <w:szCs w:val="24"/>
        </w:rPr>
        <w:t>5 低压系统技术要求</w:t>
      </w:r>
      <w:bookmarkEnd w:id="6"/>
    </w:p>
    <w:p w14:paraId="4C11CF05">
      <w:pPr>
        <w:keepNext w:val="0"/>
        <w:keepLines w:val="0"/>
        <w:pageBreakBefore w:val="0"/>
        <w:kinsoku/>
        <w:wordWrap/>
        <w:overflowPunct/>
        <w:topLinePunct w:val="0"/>
        <w:autoSpaceDE/>
        <w:autoSpaceDN/>
        <w:bidi w:val="0"/>
        <w:adjustRightInd/>
        <w:snapToGrid/>
        <w:spacing w:line="360" w:lineRule="auto"/>
        <w:ind w:left="0"/>
        <w:jc w:val="both"/>
        <w:textAlignment w:val="auto"/>
        <w:rPr>
          <w:rFonts w:hint="eastAsia" w:ascii="宋体" w:hAnsi="宋体" w:eastAsia="宋体" w:cs="宋体"/>
          <w:sz w:val="24"/>
          <w:szCs w:val="24"/>
        </w:rPr>
      </w:pPr>
      <w:r>
        <w:rPr>
          <w:rFonts w:hint="eastAsia" w:ascii="宋体" w:hAnsi="宋体" w:eastAsia="宋体" w:cs="宋体"/>
          <w:sz w:val="24"/>
          <w:szCs w:val="24"/>
        </w:rPr>
        <w:t>5.1 低压进线采用智能断路器，具备长延时、短延时、瞬时、接地故障四段保护，配置电动操作机构及充足辅助触点。</w:t>
      </w:r>
    </w:p>
    <w:p w14:paraId="45EA9584">
      <w:pPr>
        <w:keepNext w:val="0"/>
        <w:keepLines w:val="0"/>
        <w:pageBreakBefore w:val="0"/>
        <w:kinsoku/>
        <w:wordWrap/>
        <w:overflowPunct/>
        <w:topLinePunct w:val="0"/>
        <w:autoSpaceDE/>
        <w:autoSpaceDN/>
        <w:bidi w:val="0"/>
        <w:adjustRightInd/>
        <w:snapToGrid/>
        <w:spacing w:line="360" w:lineRule="auto"/>
        <w:ind w:left="0"/>
        <w:jc w:val="both"/>
        <w:textAlignment w:val="auto"/>
        <w:rPr>
          <w:rFonts w:hint="eastAsia" w:ascii="宋体" w:hAnsi="宋体" w:eastAsia="宋体" w:cs="宋体"/>
          <w:sz w:val="24"/>
          <w:szCs w:val="24"/>
        </w:rPr>
      </w:pPr>
      <w:r>
        <w:rPr>
          <w:rFonts w:hint="eastAsia" w:ascii="宋体" w:hAnsi="宋体" w:eastAsia="宋体" w:cs="宋体"/>
          <w:sz w:val="24"/>
          <w:szCs w:val="24"/>
        </w:rPr>
        <w:t>5.2 低压出线按设计配置塑壳断路器，回路配置规范，保护定值分级匹配。</w:t>
      </w:r>
    </w:p>
    <w:p w14:paraId="1AA03108">
      <w:pPr>
        <w:keepNext w:val="0"/>
        <w:keepLines w:val="0"/>
        <w:pageBreakBefore w:val="0"/>
        <w:kinsoku/>
        <w:wordWrap/>
        <w:overflowPunct/>
        <w:topLinePunct w:val="0"/>
        <w:autoSpaceDE/>
        <w:autoSpaceDN/>
        <w:bidi w:val="0"/>
        <w:adjustRightInd/>
        <w:snapToGrid/>
        <w:spacing w:line="360" w:lineRule="auto"/>
        <w:ind w:left="0"/>
        <w:jc w:val="both"/>
        <w:textAlignment w:val="auto"/>
        <w:rPr>
          <w:rFonts w:hint="eastAsia" w:ascii="宋体" w:hAnsi="宋体" w:eastAsia="宋体" w:cs="宋体"/>
          <w:sz w:val="24"/>
          <w:szCs w:val="24"/>
        </w:rPr>
      </w:pPr>
      <w:r>
        <w:rPr>
          <w:rFonts w:hint="eastAsia" w:ascii="宋体" w:hAnsi="宋体" w:eastAsia="宋体" w:cs="宋体"/>
          <w:sz w:val="24"/>
          <w:szCs w:val="24"/>
        </w:rPr>
        <w:t>5.3 配置计量CT（0.5S级）、二级浪涌保护器SPD，满足配电计量及防雷要求。</w:t>
      </w:r>
    </w:p>
    <w:p w14:paraId="06588C16">
      <w:pPr>
        <w:keepNext w:val="0"/>
        <w:keepLines w:val="0"/>
        <w:pageBreakBefore w:val="0"/>
        <w:kinsoku/>
        <w:wordWrap/>
        <w:overflowPunct/>
        <w:topLinePunct w:val="0"/>
        <w:autoSpaceDE/>
        <w:autoSpaceDN/>
        <w:bidi w:val="0"/>
        <w:adjustRightInd/>
        <w:snapToGrid/>
        <w:spacing w:line="360" w:lineRule="auto"/>
        <w:ind w:left="0"/>
        <w:jc w:val="both"/>
        <w:textAlignment w:val="auto"/>
        <w:rPr>
          <w:rFonts w:hint="eastAsia" w:ascii="宋体" w:hAnsi="宋体" w:eastAsia="宋体" w:cs="宋体"/>
          <w:sz w:val="24"/>
          <w:szCs w:val="24"/>
        </w:rPr>
      </w:pPr>
      <w:r>
        <w:rPr>
          <w:rFonts w:hint="eastAsia" w:ascii="宋体" w:hAnsi="宋体" w:eastAsia="宋体" w:cs="宋体"/>
          <w:sz w:val="24"/>
          <w:szCs w:val="24"/>
        </w:rPr>
        <w:t>5.4 低压舱内设绝缘防护挡板，开门后完全隔离带电部位，杜绝人员误触碰安全隐患。</w:t>
      </w:r>
    </w:p>
    <w:p w14:paraId="3B422EE5">
      <w:pPr>
        <w:keepNext w:val="0"/>
        <w:keepLines w:val="0"/>
        <w:pageBreakBefore w:val="0"/>
        <w:kinsoku/>
        <w:wordWrap/>
        <w:overflowPunct/>
        <w:topLinePunct w:val="0"/>
        <w:autoSpaceDE/>
        <w:autoSpaceDN/>
        <w:bidi w:val="0"/>
        <w:adjustRightInd/>
        <w:snapToGrid/>
        <w:spacing w:line="360" w:lineRule="auto"/>
        <w:ind w:left="0"/>
        <w:jc w:val="both"/>
        <w:textAlignment w:val="auto"/>
        <w:rPr>
          <w:rFonts w:hint="eastAsia" w:ascii="宋体" w:hAnsi="宋体" w:eastAsia="宋体" w:cs="宋体"/>
          <w:sz w:val="24"/>
          <w:szCs w:val="24"/>
        </w:rPr>
      </w:pPr>
      <w:r>
        <w:rPr>
          <w:rFonts w:hint="eastAsia" w:ascii="宋体" w:hAnsi="宋体" w:eastAsia="宋体" w:cs="宋体"/>
          <w:sz w:val="24"/>
          <w:szCs w:val="24"/>
        </w:rPr>
        <w:t>5.5 柜内标配照明装置、自动驱潮加热器，适配户外潮湿凝露环境。</w:t>
      </w:r>
    </w:p>
    <w:p w14:paraId="60EB6616">
      <w:pPr>
        <w:keepNext w:val="0"/>
        <w:keepLines w:val="0"/>
        <w:pageBreakBefore w:val="0"/>
        <w:kinsoku/>
        <w:wordWrap/>
        <w:overflowPunct/>
        <w:topLinePunct w:val="0"/>
        <w:autoSpaceDE/>
        <w:autoSpaceDN/>
        <w:bidi w:val="0"/>
        <w:adjustRightInd/>
        <w:snapToGrid/>
        <w:spacing w:line="360" w:lineRule="auto"/>
        <w:ind w:left="0"/>
        <w:jc w:val="both"/>
        <w:textAlignment w:val="auto"/>
        <w:rPr>
          <w:rFonts w:hint="eastAsia" w:ascii="宋体" w:hAnsi="宋体" w:eastAsia="宋体" w:cs="宋体"/>
          <w:sz w:val="24"/>
          <w:szCs w:val="24"/>
        </w:rPr>
      </w:pPr>
      <w:r>
        <w:rPr>
          <w:rFonts w:hint="eastAsia" w:ascii="宋体" w:hAnsi="宋体" w:eastAsia="宋体" w:cs="宋体"/>
          <w:sz w:val="24"/>
          <w:szCs w:val="24"/>
        </w:rPr>
        <w:t>5.6 预留无源遥信接点：负荷开关分合位、熔断器熔断、油温高报警、油位异常、压力释放动作，满足远程监控需求。</w:t>
      </w:r>
    </w:p>
    <w:p w14:paraId="02781B78">
      <w:pPr>
        <w:keepNext w:val="0"/>
        <w:keepLines w:val="0"/>
        <w:pageBreakBefore w:val="0"/>
        <w:kinsoku/>
        <w:wordWrap/>
        <w:overflowPunct/>
        <w:topLinePunct w:val="0"/>
        <w:autoSpaceDE/>
        <w:autoSpaceDN/>
        <w:bidi w:val="0"/>
        <w:adjustRightInd/>
        <w:snapToGrid/>
        <w:spacing w:line="360" w:lineRule="auto"/>
        <w:ind w:left="0"/>
        <w:jc w:val="both"/>
        <w:textAlignment w:val="auto"/>
        <w:rPr>
          <w:rFonts w:hint="eastAsia"/>
        </w:rPr>
      </w:pPr>
      <w:r>
        <w:rPr>
          <w:rFonts w:hint="eastAsia" w:ascii="宋体" w:hAnsi="宋体" w:eastAsia="宋体" w:cs="宋体"/>
          <w:sz w:val="24"/>
          <w:szCs w:val="24"/>
          <w:lang w:val="en-US" w:eastAsia="zh-CN"/>
        </w:rPr>
        <w:t xml:space="preserve">5.7 </w:t>
      </w:r>
      <w:r>
        <w:rPr>
          <w:rFonts w:hint="eastAsia" w:ascii="宋体" w:hAnsi="宋体" w:eastAsia="宋体" w:cs="宋体"/>
          <w:b/>
          <w:bCs/>
          <w:sz w:val="24"/>
          <w:szCs w:val="24"/>
          <w:lang w:val="en-US" w:eastAsia="zh-CN"/>
        </w:rPr>
        <w:t>低压电表室配置空气开关四组20A及相应连接导轨供甲方电力监控仪器安装使用，中标方需完成甲方</w:t>
      </w:r>
      <w:r>
        <w:rPr>
          <w:rFonts w:hint="eastAsia" w:ascii="宋体" w:hAnsi="宋体" w:cs="宋体"/>
          <w:b/>
          <w:bCs/>
          <w:sz w:val="24"/>
          <w:szCs w:val="24"/>
          <w:lang w:val="en-US" w:eastAsia="zh-CN"/>
        </w:rPr>
        <w:t>旧变压器</w:t>
      </w:r>
      <w:r>
        <w:rPr>
          <w:rFonts w:hint="eastAsia" w:ascii="宋体" w:hAnsi="宋体" w:eastAsia="宋体" w:cs="宋体"/>
          <w:b/>
          <w:bCs/>
          <w:sz w:val="24"/>
          <w:szCs w:val="24"/>
          <w:lang w:val="en-US" w:eastAsia="zh-CN"/>
        </w:rPr>
        <w:t>电力监控CT及仪表转移接线至新变压器的全部工作</w:t>
      </w:r>
      <w:r>
        <w:rPr>
          <w:rFonts w:hint="eastAsia" w:ascii="宋体" w:hAnsi="宋体" w:eastAsia="宋体" w:cs="宋体"/>
          <w:b/>
          <w:bCs/>
          <w:sz w:val="24"/>
          <w:szCs w:val="24"/>
        </w:rPr>
        <w:t>。</w:t>
      </w:r>
    </w:p>
    <w:p w14:paraId="7493029A">
      <w:pPr>
        <w:keepNext w:val="0"/>
        <w:keepLines w:val="0"/>
        <w:pageBreakBefore w:val="0"/>
        <w:kinsoku/>
        <w:wordWrap/>
        <w:overflowPunct/>
        <w:topLinePunct w:val="0"/>
        <w:autoSpaceDE/>
        <w:autoSpaceDN/>
        <w:bidi w:val="0"/>
        <w:adjustRightInd/>
        <w:snapToGrid/>
        <w:spacing w:line="360" w:lineRule="auto"/>
        <w:ind w:left="0"/>
        <w:jc w:val="both"/>
        <w:textAlignment w:val="auto"/>
        <w:outlineLvl w:val="1"/>
        <w:rPr>
          <w:rFonts w:hint="eastAsia" w:ascii="宋体" w:hAnsi="宋体" w:eastAsia="宋体" w:cs="宋体"/>
          <w:sz w:val="24"/>
          <w:szCs w:val="24"/>
        </w:rPr>
      </w:pPr>
      <w:bookmarkStart w:id="7" w:name="heading_9"/>
      <w:r>
        <w:rPr>
          <w:rFonts w:hint="eastAsia" w:ascii="宋体" w:hAnsi="宋体" w:eastAsia="宋体" w:cs="宋体"/>
          <w:b/>
          <w:sz w:val="24"/>
          <w:szCs w:val="24"/>
        </w:rPr>
        <w:t>6 箱体结构与防腐工艺</w:t>
      </w:r>
      <w:bookmarkEnd w:id="7"/>
    </w:p>
    <w:p w14:paraId="028123B9">
      <w:pPr>
        <w:keepNext w:val="0"/>
        <w:keepLines w:val="0"/>
        <w:pageBreakBefore w:val="0"/>
        <w:kinsoku/>
        <w:wordWrap/>
        <w:overflowPunct/>
        <w:topLinePunct w:val="0"/>
        <w:autoSpaceDE/>
        <w:autoSpaceDN/>
        <w:bidi w:val="0"/>
        <w:adjustRightInd/>
        <w:snapToGrid/>
        <w:spacing w:line="360" w:lineRule="auto"/>
        <w:ind w:left="0"/>
        <w:jc w:val="both"/>
        <w:textAlignment w:val="auto"/>
        <w:rPr>
          <w:rFonts w:hint="eastAsia" w:ascii="宋体" w:hAnsi="宋体" w:eastAsia="宋体" w:cs="宋体"/>
          <w:sz w:val="24"/>
          <w:szCs w:val="24"/>
        </w:rPr>
      </w:pPr>
      <w:r>
        <w:rPr>
          <w:rFonts w:hint="eastAsia" w:ascii="宋体" w:hAnsi="宋体" w:eastAsia="宋体" w:cs="宋体"/>
          <w:sz w:val="24"/>
          <w:szCs w:val="24"/>
        </w:rPr>
        <w:t>6.1 箱体主体采用优质冷轧钢板，</w:t>
      </w:r>
      <w:r>
        <w:rPr>
          <w:rFonts w:ascii="宋体" w:hAnsi="宋体" w:eastAsia="宋体" w:cs="宋体"/>
          <w:sz w:val="24"/>
          <w:szCs w:val="24"/>
        </w:rPr>
        <w:t xml:space="preserve">优质冷轧钢板 </w:t>
      </w:r>
      <w:r>
        <w:rPr>
          <w:rFonts w:hint="eastAsia" w:ascii="宋体" w:hAnsi="宋体" w:eastAsia="宋体" w:cs="宋体"/>
          <w:sz w:val="24"/>
          <w:szCs w:val="24"/>
          <w:lang w:eastAsia="zh-CN"/>
        </w:rPr>
        <w:t>、</w:t>
      </w:r>
      <w:r>
        <w:rPr>
          <w:rFonts w:ascii="宋体" w:hAnsi="宋体" w:eastAsia="宋体" w:cs="宋体"/>
          <w:sz w:val="24"/>
          <w:szCs w:val="24"/>
        </w:rPr>
        <w:t>覆铝锌板</w:t>
      </w:r>
      <w:r>
        <w:rPr>
          <w:rFonts w:hint="eastAsia" w:ascii="宋体" w:hAnsi="宋体" w:eastAsia="宋体" w:cs="宋体"/>
          <w:sz w:val="24"/>
          <w:szCs w:val="24"/>
          <w:lang w:eastAsia="zh-CN"/>
        </w:rPr>
        <w:t>，</w:t>
      </w:r>
      <w:r>
        <w:rPr>
          <w:rFonts w:hint="eastAsia" w:ascii="宋体" w:hAnsi="宋体" w:eastAsia="宋体" w:cs="宋体"/>
          <w:sz w:val="24"/>
          <w:szCs w:val="24"/>
        </w:rPr>
        <w:t>采用</w:t>
      </w:r>
      <w:r>
        <w:rPr>
          <w:rFonts w:hint="eastAsia" w:ascii="宋体" w:hAnsi="宋体" w:eastAsia="宋体" w:cs="宋体"/>
          <w:b/>
          <w:sz w:val="24"/>
          <w:szCs w:val="24"/>
        </w:rPr>
        <w:t>喷砂+喷锌+户外聚酯静电喷塑</w:t>
      </w:r>
      <w:r>
        <w:rPr>
          <w:rFonts w:hint="eastAsia" w:ascii="宋体" w:hAnsi="宋体" w:eastAsia="宋体" w:cs="宋体"/>
          <w:sz w:val="24"/>
          <w:szCs w:val="24"/>
        </w:rPr>
        <w:t>三重防腐工艺，标准颜色为</w:t>
      </w:r>
      <w:r>
        <w:rPr>
          <w:rFonts w:hint="eastAsia" w:ascii="宋体" w:hAnsi="宋体" w:eastAsia="宋体" w:cs="宋体"/>
          <w:sz w:val="24"/>
          <w:szCs w:val="24"/>
          <w:lang w:val="en-US" w:eastAsia="zh-CN"/>
        </w:rPr>
        <w:t>国网绿</w:t>
      </w:r>
      <w:r>
        <w:rPr>
          <w:rFonts w:hint="eastAsia" w:ascii="宋体" w:hAnsi="宋体" w:eastAsia="宋体" w:cs="宋体"/>
          <w:sz w:val="24"/>
          <w:szCs w:val="24"/>
        </w:rPr>
        <w:t>色，防腐寿命≥20年，户外不锈蚀、不褪色。</w:t>
      </w:r>
    </w:p>
    <w:p w14:paraId="009F9A42">
      <w:pPr>
        <w:keepNext w:val="0"/>
        <w:keepLines w:val="0"/>
        <w:pageBreakBefore w:val="0"/>
        <w:kinsoku/>
        <w:wordWrap/>
        <w:overflowPunct/>
        <w:topLinePunct w:val="0"/>
        <w:autoSpaceDE/>
        <w:autoSpaceDN/>
        <w:bidi w:val="0"/>
        <w:adjustRightInd/>
        <w:snapToGrid/>
        <w:spacing w:line="360" w:lineRule="auto"/>
        <w:ind w:left="0"/>
        <w:jc w:val="both"/>
        <w:textAlignment w:val="auto"/>
        <w:rPr>
          <w:rFonts w:hint="eastAsia" w:ascii="宋体" w:hAnsi="宋体" w:eastAsia="宋体" w:cs="宋体"/>
          <w:sz w:val="24"/>
          <w:szCs w:val="24"/>
        </w:rPr>
      </w:pPr>
      <w:r>
        <w:rPr>
          <w:rFonts w:hint="eastAsia" w:ascii="宋体" w:hAnsi="宋体" w:eastAsia="宋体" w:cs="宋体"/>
          <w:sz w:val="24"/>
          <w:szCs w:val="24"/>
        </w:rPr>
        <w:t>6.2 顶盖采用双层隔热斜顶结构，防水防渗、隔热降温，杜绝雨水倒灌、顶部积水。</w:t>
      </w:r>
    </w:p>
    <w:p w14:paraId="6654462A">
      <w:pPr>
        <w:keepNext w:val="0"/>
        <w:keepLines w:val="0"/>
        <w:pageBreakBefore w:val="0"/>
        <w:kinsoku/>
        <w:wordWrap/>
        <w:overflowPunct/>
        <w:topLinePunct w:val="0"/>
        <w:autoSpaceDE/>
        <w:autoSpaceDN/>
        <w:bidi w:val="0"/>
        <w:adjustRightInd/>
        <w:snapToGrid/>
        <w:spacing w:line="360" w:lineRule="auto"/>
        <w:ind w:left="0"/>
        <w:jc w:val="both"/>
        <w:textAlignment w:val="auto"/>
        <w:rPr>
          <w:rFonts w:hint="eastAsia" w:ascii="宋体" w:hAnsi="宋体" w:eastAsia="宋体" w:cs="宋体"/>
          <w:sz w:val="24"/>
          <w:szCs w:val="24"/>
        </w:rPr>
      </w:pPr>
      <w:r>
        <w:rPr>
          <w:rFonts w:hint="eastAsia" w:ascii="宋体" w:hAnsi="宋体" w:eastAsia="宋体" w:cs="宋体"/>
          <w:sz w:val="24"/>
          <w:szCs w:val="24"/>
        </w:rPr>
        <w:t>6.3 配置防盗专用门锁、加厚防锈铰链，结构牢固、开启灵活。</w:t>
      </w:r>
    </w:p>
    <w:p w14:paraId="5B0ECA57">
      <w:pPr>
        <w:keepNext w:val="0"/>
        <w:keepLines w:val="0"/>
        <w:pageBreakBefore w:val="0"/>
        <w:kinsoku/>
        <w:wordWrap/>
        <w:overflowPunct/>
        <w:topLinePunct w:val="0"/>
        <w:autoSpaceDE/>
        <w:autoSpaceDN/>
        <w:bidi w:val="0"/>
        <w:adjustRightInd/>
        <w:snapToGrid/>
        <w:spacing w:line="360" w:lineRule="auto"/>
        <w:ind w:left="0"/>
        <w:jc w:val="both"/>
        <w:textAlignment w:val="auto"/>
        <w:rPr>
          <w:rFonts w:hint="eastAsia" w:ascii="宋体" w:hAnsi="宋体" w:eastAsia="宋体" w:cs="宋体"/>
          <w:sz w:val="24"/>
          <w:szCs w:val="24"/>
        </w:rPr>
      </w:pPr>
      <w:r>
        <w:rPr>
          <w:rFonts w:hint="eastAsia" w:ascii="宋体" w:hAnsi="宋体" w:eastAsia="宋体" w:cs="宋体"/>
          <w:sz w:val="24"/>
          <w:szCs w:val="24"/>
        </w:rPr>
        <w:t>6.4 箱体设置专用接地铜排及M12以上专用接地螺栓，标识清晰规范，满足接地导通要求。</w:t>
      </w:r>
    </w:p>
    <w:p w14:paraId="29681C39">
      <w:pPr>
        <w:keepNext w:val="0"/>
        <w:keepLines w:val="0"/>
        <w:pageBreakBefore w:val="0"/>
        <w:kinsoku/>
        <w:wordWrap/>
        <w:overflowPunct/>
        <w:topLinePunct w:val="0"/>
        <w:autoSpaceDE/>
        <w:autoSpaceDN/>
        <w:bidi w:val="0"/>
        <w:adjustRightInd/>
        <w:snapToGrid/>
        <w:spacing w:line="360" w:lineRule="auto"/>
        <w:ind w:left="0"/>
        <w:jc w:val="both"/>
        <w:textAlignment w:val="auto"/>
        <w:rPr>
          <w:rFonts w:hint="eastAsia" w:ascii="宋体" w:hAnsi="宋体" w:eastAsia="宋体" w:cs="宋体"/>
          <w:sz w:val="24"/>
          <w:szCs w:val="24"/>
        </w:rPr>
      </w:pPr>
      <w:r>
        <w:rPr>
          <w:rFonts w:hint="eastAsia" w:ascii="宋体" w:hAnsi="宋体" w:eastAsia="宋体" w:cs="宋体"/>
          <w:sz w:val="24"/>
          <w:szCs w:val="24"/>
        </w:rPr>
        <w:t>6.5 外置散热器布局合理，散热效率高，满足满负荷、过载运行散热需求。</w:t>
      </w:r>
    </w:p>
    <w:p w14:paraId="206B3993">
      <w:pPr>
        <w:keepNext w:val="0"/>
        <w:keepLines w:val="0"/>
        <w:pageBreakBefore w:val="0"/>
        <w:kinsoku/>
        <w:wordWrap/>
        <w:overflowPunct/>
        <w:topLinePunct w:val="0"/>
        <w:autoSpaceDE/>
        <w:autoSpaceDN/>
        <w:bidi w:val="0"/>
        <w:adjustRightInd/>
        <w:snapToGrid/>
        <w:spacing w:line="360" w:lineRule="auto"/>
        <w:ind w:left="0"/>
        <w:jc w:val="both"/>
        <w:textAlignment w:val="auto"/>
        <w:outlineLvl w:val="1"/>
        <w:rPr>
          <w:rFonts w:hint="eastAsia" w:ascii="宋体" w:hAnsi="宋体" w:eastAsia="宋体" w:cs="宋体"/>
          <w:sz w:val="24"/>
          <w:szCs w:val="24"/>
        </w:rPr>
      </w:pPr>
      <w:bookmarkStart w:id="8" w:name="heading_10"/>
      <w:r>
        <w:rPr>
          <w:rFonts w:hint="eastAsia" w:ascii="宋体" w:hAnsi="宋体" w:eastAsia="宋体" w:cs="宋体"/>
          <w:b/>
          <w:sz w:val="24"/>
          <w:szCs w:val="24"/>
        </w:rPr>
        <w:t>7 试验检验要求</w:t>
      </w:r>
      <w:bookmarkEnd w:id="8"/>
    </w:p>
    <w:p w14:paraId="4E990D01">
      <w:pPr>
        <w:keepNext w:val="0"/>
        <w:keepLines w:val="0"/>
        <w:pageBreakBefore w:val="0"/>
        <w:kinsoku/>
        <w:wordWrap/>
        <w:overflowPunct/>
        <w:topLinePunct w:val="0"/>
        <w:autoSpaceDE/>
        <w:autoSpaceDN/>
        <w:bidi w:val="0"/>
        <w:adjustRightInd/>
        <w:snapToGrid/>
        <w:spacing w:line="360" w:lineRule="auto"/>
        <w:ind w:left="0"/>
        <w:jc w:val="both"/>
        <w:textAlignment w:val="auto"/>
        <w:outlineLvl w:val="2"/>
        <w:rPr>
          <w:rFonts w:hint="eastAsia" w:ascii="宋体" w:hAnsi="宋体" w:eastAsia="宋体" w:cs="宋体"/>
          <w:sz w:val="24"/>
          <w:szCs w:val="24"/>
        </w:rPr>
      </w:pPr>
      <w:bookmarkStart w:id="9" w:name="heading_11"/>
      <w:r>
        <w:rPr>
          <w:rFonts w:hint="eastAsia" w:ascii="宋体" w:hAnsi="宋体" w:eastAsia="宋体" w:cs="宋体"/>
          <w:b/>
          <w:sz w:val="24"/>
          <w:szCs w:val="24"/>
        </w:rPr>
        <w:t>7.1 出厂</w:t>
      </w:r>
      <w:r>
        <w:rPr>
          <w:rFonts w:hint="eastAsia" w:ascii="宋体" w:hAnsi="宋体" w:eastAsia="宋体" w:cs="宋体"/>
          <w:b/>
          <w:sz w:val="24"/>
          <w:szCs w:val="24"/>
          <w:lang w:val="en-US" w:eastAsia="zh-CN"/>
        </w:rPr>
        <w:t>试验</w:t>
      </w:r>
      <w:r>
        <w:rPr>
          <w:rFonts w:hint="eastAsia" w:ascii="宋体" w:hAnsi="宋体" w:eastAsia="宋体" w:cs="宋体"/>
          <w:b/>
          <w:sz w:val="24"/>
          <w:szCs w:val="24"/>
        </w:rPr>
        <w:t>项目</w:t>
      </w:r>
      <w:bookmarkEnd w:id="9"/>
    </w:p>
    <w:p w14:paraId="6DB482A6">
      <w:pPr>
        <w:keepNext w:val="0"/>
        <w:keepLines w:val="0"/>
        <w:pageBreakBefore w:val="0"/>
        <w:numPr>
          <w:ilvl w:val="0"/>
          <w:numId w:val="0"/>
        </w:numPr>
        <w:kinsoku/>
        <w:wordWrap/>
        <w:overflowPunct/>
        <w:topLinePunct w:val="0"/>
        <w:autoSpaceDE/>
        <w:autoSpaceDN/>
        <w:bidi w:val="0"/>
        <w:adjustRightInd/>
        <w:snapToGrid/>
        <w:spacing w:line="360" w:lineRule="auto"/>
        <w:jc w:val="both"/>
        <w:textAlignment w:val="auto"/>
        <w:rPr>
          <w:rFonts w:hint="eastAsia" w:ascii="宋体" w:hAnsi="宋体" w:eastAsia="宋体" w:cs="宋体"/>
          <w:sz w:val="24"/>
          <w:szCs w:val="24"/>
        </w:rPr>
      </w:pPr>
      <w:r>
        <w:rPr>
          <w:rFonts w:hint="eastAsia" w:ascii="宋体" w:hAnsi="宋体" w:eastAsia="宋体" w:cs="宋体"/>
          <w:sz w:val="24"/>
          <w:szCs w:val="24"/>
        </w:rPr>
        <w:t>绕组直流电阻、变比误差测试</w:t>
      </w:r>
    </w:p>
    <w:p w14:paraId="129AB925">
      <w:pPr>
        <w:keepNext w:val="0"/>
        <w:keepLines w:val="0"/>
        <w:pageBreakBefore w:val="0"/>
        <w:numPr>
          <w:ilvl w:val="0"/>
          <w:numId w:val="0"/>
        </w:numPr>
        <w:kinsoku/>
        <w:wordWrap/>
        <w:overflowPunct/>
        <w:topLinePunct w:val="0"/>
        <w:autoSpaceDE/>
        <w:autoSpaceDN/>
        <w:bidi w:val="0"/>
        <w:adjustRightInd/>
        <w:snapToGrid/>
        <w:spacing w:line="360" w:lineRule="auto"/>
        <w:jc w:val="both"/>
        <w:textAlignment w:val="auto"/>
        <w:rPr>
          <w:rFonts w:hint="eastAsia" w:ascii="宋体" w:hAnsi="宋体" w:eastAsia="宋体" w:cs="宋体"/>
          <w:sz w:val="24"/>
          <w:szCs w:val="24"/>
        </w:rPr>
      </w:pPr>
      <w:r>
        <w:rPr>
          <w:rFonts w:hint="eastAsia" w:ascii="宋体" w:hAnsi="宋体" w:eastAsia="宋体" w:cs="宋体"/>
          <w:sz w:val="24"/>
          <w:szCs w:val="24"/>
        </w:rPr>
        <w:t>绝缘电阻检测</w:t>
      </w:r>
    </w:p>
    <w:p w14:paraId="1299A870">
      <w:pPr>
        <w:keepNext w:val="0"/>
        <w:keepLines w:val="0"/>
        <w:pageBreakBefore w:val="0"/>
        <w:numPr>
          <w:ilvl w:val="0"/>
          <w:numId w:val="0"/>
        </w:numPr>
        <w:kinsoku/>
        <w:wordWrap/>
        <w:overflowPunct/>
        <w:topLinePunct w:val="0"/>
        <w:autoSpaceDE/>
        <w:autoSpaceDN/>
        <w:bidi w:val="0"/>
        <w:adjustRightInd/>
        <w:snapToGrid/>
        <w:spacing w:line="360" w:lineRule="auto"/>
        <w:jc w:val="both"/>
        <w:textAlignment w:val="auto"/>
        <w:rPr>
          <w:rFonts w:hint="eastAsia" w:ascii="宋体" w:hAnsi="宋体" w:eastAsia="宋体" w:cs="宋体"/>
          <w:sz w:val="24"/>
          <w:szCs w:val="24"/>
        </w:rPr>
      </w:pPr>
      <w:r>
        <w:rPr>
          <w:rFonts w:hint="eastAsia" w:ascii="宋体" w:hAnsi="宋体" w:eastAsia="宋体" w:cs="宋体"/>
          <w:sz w:val="24"/>
          <w:szCs w:val="24"/>
        </w:rPr>
        <w:t>工频耐压试验</w:t>
      </w:r>
    </w:p>
    <w:p w14:paraId="3FC7E977">
      <w:pPr>
        <w:keepNext w:val="0"/>
        <w:keepLines w:val="0"/>
        <w:pageBreakBefore w:val="0"/>
        <w:numPr>
          <w:ilvl w:val="0"/>
          <w:numId w:val="0"/>
        </w:numPr>
        <w:kinsoku/>
        <w:wordWrap/>
        <w:overflowPunct/>
        <w:topLinePunct w:val="0"/>
        <w:autoSpaceDE/>
        <w:autoSpaceDN/>
        <w:bidi w:val="0"/>
        <w:adjustRightInd/>
        <w:snapToGrid/>
        <w:spacing w:line="360" w:lineRule="auto"/>
        <w:jc w:val="both"/>
        <w:textAlignment w:val="auto"/>
        <w:rPr>
          <w:rFonts w:hint="eastAsia" w:ascii="宋体" w:hAnsi="宋体" w:eastAsia="宋体" w:cs="宋体"/>
          <w:sz w:val="24"/>
          <w:szCs w:val="24"/>
        </w:rPr>
      </w:pPr>
      <w:r>
        <w:rPr>
          <w:rFonts w:hint="eastAsia" w:ascii="宋体" w:hAnsi="宋体" w:eastAsia="宋体" w:cs="宋体"/>
          <w:sz w:val="24"/>
          <w:szCs w:val="24"/>
        </w:rPr>
        <w:t>负荷开关机械操作特性试验</w:t>
      </w:r>
    </w:p>
    <w:p w14:paraId="37C95FBB">
      <w:pPr>
        <w:keepNext w:val="0"/>
        <w:keepLines w:val="0"/>
        <w:pageBreakBefore w:val="0"/>
        <w:numPr>
          <w:ilvl w:val="0"/>
          <w:numId w:val="0"/>
        </w:numPr>
        <w:kinsoku/>
        <w:wordWrap/>
        <w:overflowPunct/>
        <w:topLinePunct w:val="0"/>
        <w:autoSpaceDE/>
        <w:autoSpaceDN/>
        <w:bidi w:val="0"/>
        <w:adjustRightInd/>
        <w:snapToGrid/>
        <w:spacing w:line="360" w:lineRule="auto"/>
        <w:jc w:val="both"/>
        <w:textAlignment w:val="auto"/>
        <w:rPr>
          <w:rFonts w:hint="eastAsia" w:ascii="宋体" w:hAnsi="宋体" w:eastAsia="宋体" w:cs="宋体"/>
          <w:sz w:val="24"/>
          <w:szCs w:val="24"/>
        </w:rPr>
      </w:pPr>
      <w:r>
        <w:rPr>
          <w:rFonts w:hint="eastAsia" w:ascii="宋体" w:hAnsi="宋体" w:eastAsia="宋体" w:cs="宋体"/>
          <w:sz w:val="24"/>
          <w:szCs w:val="24"/>
        </w:rPr>
        <w:t>箱体整体密封压力试漏试验</w:t>
      </w:r>
    </w:p>
    <w:p w14:paraId="186B23F6">
      <w:pPr>
        <w:keepNext w:val="0"/>
        <w:keepLines w:val="0"/>
        <w:pageBreakBefore w:val="0"/>
        <w:numPr>
          <w:ilvl w:val="0"/>
          <w:numId w:val="0"/>
        </w:numPr>
        <w:kinsoku/>
        <w:wordWrap/>
        <w:overflowPunct/>
        <w:topLinePunct w:val="0"/>
        <w:autoSpaceDE/>
        <w:autoSpaceDN/>
        <w:bidi w:val="0"/>
        <w:adjustRightInd/>
        <w:snapToGrid/>
        <w:spacing w:line="360" w:lineRule="auto"/>
        <w:jc w:val="both"/>
        <w:textAlignment w:val="auto"/>
        <w:rPr>
          <w:rFonts w:hint="eastAsia" w:ascii="宋体" w:hAnsi="宋体" w:eastAsia="宋体" w:cs="宋体"/>
          <w:sz w:val="24"/>
          <w:szCs w:val="24"/>
        </w:rPr>
      </w:pPr>
      <w:r>
        <w:rPr>
          <w:rFonts w:hint="eastAsia" w:ascii="宋体" w:hAnsi="宋体" w:eastAsia="宋体" w:cs="宋体"/>
          <w:sz w:val="24"/>
          <w:szCs w:val="24"/>
        </w:rPr>
        <w:t>变压器油介损、油质化验</w:t>
      </w:r>
    </w:p>
    <w:p w14:paraId="2E349836">
      <w:pPr>
        <w:keepNext w:val="0"/>
        <w:keepLines w:val="0"/>
        <w:pageBreakBefore w:val="0"/>
        <w:numPr>
          <w:ilvl w:val="0"/>
          <w:numId w:val="0"/>
        </w:numPr>
        <w:kinsoku/>
        <w:wordWrap/>
        <w:overflowPunct/>
        <w:topLinePunct w:val="0"/>
        <w:autoSpaceDE/>
        <w:autoSpaceDN/>
        <w:bidi w:val="0"/>
        <w:adjustRightInd/>
        <w:snapToGrid/>
        <w:spacing w:line="360" w:lineRule="auto"/>
        <w:jc w:val="both"/>
        <w:textAlignment w:val="auto"/>
        <w:rPr>
          <w:rFonts w:hint="default" w:eastAsia="宋体"/>
          <w:lang w:val="en-US" w:eastAsia="zh-CN"/>
        </w:rPr>
      </w:pPr>
      <w:r>
        <w:rPr>
          <w:rFonts w:hint="eastAsia" w:ascii="宋体" w:hAnsi="宋体" w:eastAsia="宋体" w:cs="宋体"/>
          <w:sz w:val="24"/>
          <w:szCs w:val="24"/>
        </w:rPr>
        <w:t>所有报警、跳闸接点联动校验</w:t>
      </w:r>
    </w:p>
    <w:p w14:paraId="7076191C">
      <w:pPr>
        <w:keepNext w:val="0"/>
        <w:keepLines w:val="0"/>
        <w:pageBreakBefore w:val="0"/>
        <w:numPr>
          <w:ilvl w:val="0"/>
          <w:numId w:val="0"/>
        </w:numPr>
        <w:kinsoku/>
        <w:wordWrap/>
        <w:overflowPunct/>
        <w:topLinePunct w:val="0"/>
        <w:autoSpaceDE/>
        <w:autoSpaceDN/>
        <w:bidi w:val="0"/>
        <w:adjustRightInd/>
        <w:snapToGrid/>
        <w:spacing w:line="360" w:lineRule="auto"/>
        <w:ind w:leftChars="0"/>
        <w:jc w:val="both"/>
        <w:textAlignment w:val="auto"/>
        <w:rPr>
          <w:rFonts w:hint="eastAsia" w:eastAsia="宋体"/>
          <w:lang w:val="en-US" w:eastAsia="zh-CN"/>
        </w:rPr>
      </w:pPr>
      <w:r>
        <w:rPr>
          <w:rFonts w:hint="eastAsia" w:ascii="宋体" w:hAnsi="宋体" w:eastAsia="宋体" w:cs="宋体"/>
          <w:b/>
          <w:bCs/>
          <w:sz w:val="24"/>
          <w:szCs w:val="24"/>
          <w:lang w:val="en-US" w:eastAsia="zh-CN"/>
        </w:rPr>
        <w:t>甲方人员去中标方见证所有试验及绕组材质检测所产生的相关费用由投标方承担</w:t>
      </w:r>
      <w:r>
        <w:rPr>
          <w:rFonts w:hint="eastAsia" w:ascii="宋体" w:hAnsi="宋体" w:eastAsia="宋体" w:cs="宋体"/>
          <w:sz w:val="24"/>
          <w:szCs w:val="24"/>
          <w:lang w:val="en-US" w:eastAsia="zh-CN"/>
        </w:rPr>
        <w:t>。</w:t>
      </w:r>
    </w:p>
    <w:sectPr>
      <w:headerReference r:id="rId3" w:type="default"/>
      <w:footerReference r:id="rId4" w:type="default"/>
      <w:pgSz w:w="11905" w:h="16840"/>
      <w:cols w:space="720" w:num="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5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0B82385"/>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EEA0D4B"/>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7"/>
  <w:bordersDoNotSurroundHeader w:val="0"/>
  <w:bordersDoNotSurroundFooter w:val="0"/>
  <w:documentProtection w:enforcement="0"/>
  <w:displayHorizontalDrawingGridEvery w:val="1"/>
  <w:displayVerticalDrawingGridEvery w:val="1"/>
  <w:noPunctuationKerning w:val="1"/>
  <w:compat>
    <w:doNotExpandShiftReturn/>
    <w:doNotWrapTextWithPunct/>
    <w:doNotUseEastAsianBreakRules/>
    <w:useFELayout/>
    <w:doNotUseIndentAsNumberingTabStop/>
    <w:splitPgBreakAndParaMark/>
    <w:compatSetting w:name="compatibilityMode" w:uri="http://schemas.microsoft.com/office/word" w:val="12"/>
  </w:compat>
  <w:rsids>
    <w:rsidRoot w:val="00000000"/>
    <w:rsid w:val="02097D89"/>
    <w:rsid w:val="02304E24"/>
    <w:rsid w:val="02D940C6"/>
    <w:rsid w:val="07FB3830"/>
    <w:rsid w:val="1F97044D"/>
    <w:rsid w:val="32735EEF"/>
    <w:rsid w:val="34AF20BD"/>
    <w:rsid w:val="469707AD"/>
    <w:rsid w:val="48C5225E"/>
    <w:rsid w:val="4D8D78A2"/>
    <w:rsid w:val="6F0879DA"/>
    <w:rsid w:val="711B05D6"/>
    <w:rsid w:val="730377F6"/>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nhideWhenUsed="0" w:uiPriority="0" w:semiHidden="0" w:name="heading 3"/>
    <w:lsdException w:qFormat="1" w:uiPriority="0" w:name="heading 4"/>
    <w:lsdException w:qFormat="1" w:uiPriority="0" w:name="heading 5"/>
    <w:lsdException w:qFormat="1" w:unhideWhenUsed="0" w:uiPriority="0" w:semiHidden="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sz w:val="21"/>
      <w:szCs w:val="22"/>
    </w:rPr>
  </w:style>
  <w:style w:type="paragraph" w:styleId="3">
    <w:name w:val="heading 3"/>
    <w:basedOn w:val="1"/>
    <w:next w:val="1"/>
    <w:qFormat/>
    <w:uiPriority w:val="0"/>
    <w:pPr>
      <w:keepNext/>
      <w:spacing w:line="334" w:lineRule="atLeast"/>
      <w:ind w:firstLine="192"/>
      <w:outlineLvl w:val="2"/>
    </w:pPr>
    <w:rPr>
      <w:rFonts w:ascii="仿宋" w:hAnsi="仿宋" w:eastAsia="仿宋"/>
      <w:sz w:val="24"/>
    </w:rPr>
  </w:style>
  <w:style w:type="paragraph" w:styleId="2">
    <w:name w:val="heading 6"/>
    <w:basedOn w:val="1"/>
    <w:next w:val="1"/>
    <w:qFormat/>
    <w:uiPriority w:val="0"/>
    <w:pPr>
      <w:keepNext/>
      <w:keepLines/>
      <w:spacing w:before="240" w:after="64" w:line="317" w:lineRule="auto"/>
      <w:outlineLvl w:val="5"/>
    </w:pPr>
    <w:rPr>
      <w:rFonts w:ascii="Arial" w:hAnsi="Arial"/>
      <w:color w:val="000000"/>
      <w:sz w:val="32"/>
    </w:rPr>
  </w:style>
  <w:style w:type="character" w:default="1" w:styleId="5">
    <w:name w:val="Default Paragraph Font"/>
    <w:semiHidden/>
    <w:uiPriority w:val="0"/>
  </w:style>
  <w:style w:type="table" w:default="1" w:styleId="4">
    <w:name w:val="Normal Table"/>
    <w:semiHidden/>
    <w:qFormat/>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Pages>4</Pages>
  <TotalTime>1</TotalTime>
  <ScaleCrop>false</ScaleCrop>
  <LinksUpToDate>false</LinksUpToDate>
  <Application>WPS Office_12.8.2.18205_F1E327BC-269C-435d-A152-05C5408002CA</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2026-08-26T16:44:00Z</dcterms:created>
  <dc:creator>Apache POI</dc:creator>
  <cp:lastModifiedBy>9742708073C24740BC852C63DEF26258</cp:lastModifiedBy>
  <dcterms:modified xsi:type="dcterms:W3CDTF">2026-08-26T17:34:32Z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IGC">
    <vt:lpwstr>{"Label":"1","ContentProducer":"001191110102MACQD9K64010000","ProduceID":"7678382202870369258","ReservedCode1":"","ContentPropagator":"","PropagateID":"","ReservedCode2":""}</vt:lpwstr>
  </property>
  <property fmtid="{D5CDD505-2E9C-101B-9397-08002B2CF9AE}" pid="3" name="KSOProductBuildVer">
    <vt:lpwstr>2052-12.8.2.18205</vt:lpwstr>
  </property>
  <property fmtid="{D5CDD505-2E9C-101B-9397-08002B2CF9AE}" pid="4" name="ICV">
    <vt:lpwstr>6DC91260DA604CD39237E5B012CA10EA_12</vt:lpwstr>
  </property>
</Properties>
</file>